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DF" w:rsidRPr="007F2B8E" w:rsidRDefault="00141620" w:rsidP="00F67EDF">
      <w:pPr>
        <w:jc w:val="both"/>
        <w:rPr>
          <w:rFonts w:ascii="Times New Roman" w:hAnsi="Times New Roman"/>
          <w:b/>
          <w:sz w:val="28"/>
          <w:szCs w:val="28"/>
        </w:rPr>
      </w:pPr>
      <w:r w:rsidRPr="007F2B8E">
        <w:rPr>
          <w:rFonts w:ascii="Times New Roman" w:hAnsi="Times New Roman"/>
          <w:b/>
          <w:sz w:val="28"/>
          <w:szCs w:val="28"/>
        </w:rPr>
        <w:t xml:space="preserve">ADDRESSING GENDER INEQUALITY IN HIGHER EDUCATION THROUGH TARGETED INSTITUTIONAL REPONSES: FIELD EVIDENCE </w:t>
      </w:r>
      <w:r w:rsidR="00F67EDF" w:rsidRPr="007F2B8E">
        <w:rPr>
          <w:rFonts w:ascii="Times New Roman" w:hAnsi="Times New Roman"/>
          <w:b/>
          <w:sz w:val="28"/>
          <w:szCs w:val="28"/>
        </w:rPr>
        <w:t xml:space="preserve"> </w:t>
      </w:r>
      <w:r w:rsidRPr="007F2B8E">
        <w:rPr>
          <w:rFonts w:ascii="Times New Roman" w:hAnsi="Times New Roman"/>
          <w:b/>
          <w:sz w:val="28"/>
          <w:szCs w:val="28"/>
        </w:rPr>
        <w:t>FROM KENYA AND NIGERIA</w:t>
      </w:r>
    </w:p>
    <w:p w:rsidR="00F67EDF" w:rsidRPr="00BB0679" w:rsidRDefault="00F67EDF" w:rsidP="007F2B8E">
      <w:pPr>
        <w:rPr>
          <w:rFonts w:ascii="Times New Roman" w:hAnsi="Times New Roman"/>
          <w:b/>
          <w:sz w:val="24"/>
          <w:szCs w:val="24"/>
        </w:rPr>
      </w:pPr>
      <w:r w:rsidRPr="00BB0679">
        <w:rPr>
          <w:rFonts w:ascii="Times New Roman" w:hAnsi="Times New Roman"/>
          <w:b/>
          <w:sz w:val="24"/>
          <w:szCs w:val="24"/>
        </w:rPr>
        <w:t>By</w:t>
      </w:r>
    </w:p>
    <w:p w:rsidR="00217DF8" w:rsidRDefault="00217DF8" w:rsidP="007F2B8E">
      <w:pPr>
        <w:spacing w:line="240" w:lineRule="auto"/>
        <w:contextualSpacing/>
        <w:rPr>
          <w:rFonts w:ascii="Times New Roman" w:hAnsi="Times New Roman"/>
          <w:b/>
          <w:sz w:val="24"/>
          <w:szCs w:val="24"/>
        </w:rPr>
      </w:pPr>
      <w:r>
        <w:rPr>
          <w:rFonts w:ascii="Times New Roman" w:hAnsi="Times New Roman"/>
          <w:b/>
          <w:sz w:val="24"/>
          <w:szCs w:val="24"/>
        </w:rPr>
        <w:t>OANDA, I</w:t>
      </w:r>
      <w:r w:rsidR="00141620" w:rsidRPr="007F2B8E">
        <w:rPr>
          <w:rFonts w:ascii="Times New Roman" w:hAnsi="Times New Roman"/>
          <w:b/>
          <w:sz w:val="24"/>
          <w:szCs w:val="24"/>
        </w:rPr>
        <w:t>BRAHIM</w:t>
      </w:r>
    </w:p>
    <w:p w:rsidR="00217DF8" w:rsidRDefault="007F2B8E" w:rsidP="007F2B8E">
      <w:pPr>
        <w:spacing w:line="240" w:lineRule="auto"/>
        <w:contextualSpacing/>
        <w:rPr>
          <w:rFonts w:ascii="Times New Roman" w:hAnsi="Times New Roman"/>
          <w:b/>
          <w:sz w:val="24"/>
          <w:szCs w:val="24"/>
        </w:rPr>
      </w:pPr>
      <w:r w:rsidRPr="007F2B8E">
        <w:rPr>
          <w:rFonts w:ascii="Times New Roman" w:hAnsi="Times New Roman"/>
          <w:b/>
          <w:sz w:val="24"/>
          <w:szCs w:val="24"/>
        </w:rPr>
        <w:t xml:space="preserve"> </w:t>
      </w:r>
      <w:r w:rsidR="00141620" w:rsidRPr="007F2B8E">
        <w:rPr>
          <w:rFonts w:ascii="Times New Roman" w:hAnsi="Times New Roman"/>
          <w:b/>
          <w:sz w:val="24"/>
          <w:szCs w:val="24"/>
        </w:rPr>
        <w:t>KENYATTA UNIVERSITY, KENYA</w:t>
      </w:r>
      <w:r w:rsidR="00217DF8">
        <w:rPr>
          <w:rFonts w:ascii="Times New Roman" w:hAnsi="Times New Roman"/>
          <w:b/>
          <w:sz w:val="24"/>
          <w:szCs w:val="24"/>
        </w:rPr>
        <w:t>.</w:t>
      </w:r>
    </w:p>
    <w:p w:rsidR="00F67EDF" w:rsidRPr="00241EEC" w:rsidRDefault="00141620" w:rsidP="007F2B8E">
      <w:pPr>
        <w:spacing w:line="240" w:lineRule="auto"/>
        <w:contextualSpacing/>
        <w:rPr>
          <w:rFonts w:ascii="Times New Roman" w:hAnsi="Times New Roman"/>
          <w:b/>
          <w:i/>
          <w:sz w:val="24"/>
          <w:szCs w:val="24"/>
        </w:rPr>
      </w:pPr>
      <w:r w:rsidRPr="00241EEC">
        <w:rPr>
          <w:rFonts w:ascii="Times New Roman" w:hAnsi="Times New Roman"/>
          <w:b/>
          <w:i/>
          <w:sz w:val="24"/>
          <w:szCs w:val="24"/>
        </w:rPr>
        <w:t>AND</w:t>
      </w:r>
    </w:p>
    <w:p w:rsidR="00217DF8" w:rsidRDefault="00217DF8" w:rsidP="007F2B8E">
      <w:pPr>
        <w:spacing w:line="240" w:lineRule="auto"/>
        <w:contextualSpacing/>
        <w:rPr>
          <w:rFonts w:ascii="Times New Roman" w:hAnsi="Times New Roman"/>
          <w:b/>
          <w:sz w:val="24"/>
          <w:szCs w:val="24"/>
        </w:rPr>
      </w:pPr>
      <w:r>
        <w:rPr>
          <w:rFonts w:ascii="Times New Roman" w:hAnsi="Times New Roman"/>
          <w:b/>
          <w:sz w:val="24"/>
          <w:szCs w:val="24"/>
        </w:rPr>
        <w:t>AKUDOLU, L</w:t>
      </w:r>
      <w:r w:rsidR="00141620" w:rsidRPr="007F2B8E">
        <w:rPr>
          <w:rFonts w:ascii="Times New Roman" w:hAnsi="Times New Roman"/>
          <w:b/>
          <w:sz w:val="24"/>
          <w:szCs w:val="24"/>
        </w:rPr>
        <w:t xml:space="preserve">ILIAN-RITA </w:t>
      </w:r>
    </w:p>
    <w:p w:rsidR="00F67EDF" w:rsidRPr="007F2B8E" w:rsidRDefault="007F2B8E" w:rsidP="007F2B8E">
      <w:pPr>
        <w:spacing w:line="240" w:lineRule="auto"/>
        <w:contextualSpacing/>
        <w:rPr>
          <w:rFonts w:ascii="Times New Roman" w:hAnsi="Times New Roman"/>
          <w:b/>
          <w:sz w:val="24"/>
          <w:szCs w:val="24"/>
        </w:rPr>
      </w:pPr>
      <w:r w:rsidRPr="007F2B8E">
        <w:rPr>
          <w:rFonts w:ascii="Times New Roman" w:hAnsi="Times New Roman"/>
          <w:b/>
          <w:sz w:val="24"/>
          <w:szCs w:val="24"/>
        </w:rPr>
        <w:t xml:space="preserve"> </w:t>
      </w:r>
      <w:r w:rsidR="00141620" w:rsidRPr="007F2B8E">
        <w:rPr>
          <w:rFonts w:ascii="Times New Roman" w:hAnsi="Times New Roman"/>
          <w:b/>
          <w:sz w:val="24"/>
          <w:szCs w:val="24"/>
        </w:rPr>
        <w:t>NNAMDI AZIKIWE UNIVERSITY, AWKA, NIGERIA</w:t>
      </w:r>
      <w:r w:rsidR="00217DF8">
        <w:rPr>
          <w:rFonts w:ascii="Times New Roman" w:hAnsi="Times New Roman"/>
          <w:b/>
          <w:sz w:val="24"/>
          <w:szCs w:val="24"/>
        </w:rPr>
        <w:t>.</w:t>
      </w:r>
    </w:p>
    <w:p w:rsidR="00F67EDF" w:rsidRPr="007F2B8E" w:rsidRDefault="00F67EDF" w:rsidP="00F67EDF">
      <w:pPr>
        <w:jc w:val="both"/>
        <w:rPr>
          <w:rFonts w:ascii="Times New Roman" w:hAnsi="Times New Roman"/>
          <w:sz w:val="24"/>
          <w:szCs w:val="24"/>
        </w:rPr>
      </w:pPr>
    </w:p>
    <w:p w:rsidR="00F67EDF" w:rsidRPr="00BB0679" w:rsidRDefault="00F67EDF" w:rsidP="00F67EDF">
      <w:pPr>
        <w:jc w:val="both"/>
        <w:rPr>
          <w:rFonts w:ascii="Times New Roman" w:hAnsi="Times New Roman"/>
          <w:b/>
          <w:sz w:val="24"/>
          <w:szCs w:val="24"/>
        </w:rPr>
      </w:pPr>
      <w:r w:rsidRPr="00BB0679">
        <w:rPr>
          <w:rFonts w:ascii="Times New Roman" w:hAnsi="Times New Roman"/>
          <w:b/>
          <w:sz w:val="24"/>
          <w:szCs w:val="24"/>
        </w:rPr>
        <w:t>Introduction</w:t>
      </w:r>
    </w:p>
    <w:p w:rsidR="0074580D" w:rsidRDefault="00F67EDF" w:rsidP="00F67EDF">
      <w:pPr>
        <w:spacing w:line="360" w:lineRule="auto"/>
        <w:contextualSpacing/>
        <w:jc w:val="both"/>
        <w:rPr>
          <w:rFonts w:ascii="Times New Roman" w:hAnsi="Times New Roman"/>
          <w:sz w:val="24"/>
          <w:szCs w:val="24"/>
        </w:rPr>
      </w:pPr>
      <w:r w:rsidRPr="00BB0679">
        <w:rPr>
          <w:rFonts w:ascii="Times New Roman" w:hAnsi="Times New Roman"/>
          <w:sz w:val="24"/>
          <w:szCs w:val="24"/>
        </w:rPr>
        <w:t xml:space="preserve">Over the last two decades, studies have documented the glaring gender inequalities that characterize access and participation in </w:t>
      </w:r>
      <w:r w:rsidR="00141620">
        <w:rPr>
          <w:rFonts w:ascii="Times New Roman" w:hAnsi="Times New Roman"/>
          <w:sz w:val="24"/>
          <w:szCs w:val="24"/>
        </w:rPr>
        <w:t xml:space="preserve">African </w:t>
      </w:r>
      <w:r w:rsidRPr="00BB0679">
        <w:rPr>
          <w:rFonts w:ascii="Times New Roman" w:hAnsi="Times New Roman"/>
          <w:sz w:val="24"/>
          <w:szCs w:val="24"/>
        </w:rPr>
        <w:t xml:space="preserve">higher education. </w:t>
      </w:r>
      <w:r>
        <w:rPr>
          <w:rFonts w:ascii="Times New Roman" w:hAnsi="Times New Roman"/>
          <w:sz w:val="24"/>
          <w:szCs w:val="24"/>
        </w:rPr>
        <w:t>Most of these studies show that globally, though enrolments in higher education institutions have increased, average rates of participation for th</w:t>
      </w:r>
      <w:r w:rsidR="000A08E2">
        <w:rPr>
          <w:rFonts w:ascii="Times New Roman" w:hAnsi="Times New Roman"/>
          <w:sz w:val="24"/>
          <w:szCs w:val="24"/>
        </w:rPr>
        <w:t>os</w:t>
      </w:r>
      <w:r>
        <w:rPr>
          <w:rFonts w:ascii="Times New Roman" w:hAnsi="Times New Roman"/>
          <w:sz w:val="24"/>
          <w:szCs w:val="24"/>
        </w:rPr>
        <w:t xml:space="preserve">e </w:t>
      </w:r>
      <w:r w:rsidR="000A08E2">
        <w:rPr>
          <w:rFonts w:ascii="Times New Roman" w:hAnsi="Times New Roman"/>
          <w:sz w:val="24"/>
          <w:szCs w:val="24"/>
        </w:rPr>
        <w:t>of</w:t>
      </w:r>
      <w:r>
        <w:rPr>
          <w:rFonts w:ascii="Times New Roman" w:hAnsi="Times New Roman"/>
          <w:sz w:val="24"/>
          <w:szCs w:val="24"/>
        </w:rPr>
        <w:t xml:space="preserve"> entr</w:t>
      </w:r>
      <w:r w:rsidR="000A08E2">
        <w:rPr>
          <w:rFonts w:ascii="Times New Roman" w:hAnsi="Times New Roman"/>
          <w:sz w:val="24"/>
          <w:szCs w:val="24"/>
        </w:rPr>
        <w:t>ance</w:t>
      </w:r>
      <w:r>
        <w:rPr>
          <w:rFonts w:ascii="Times New Roman" w:hAnsi="Times New Roman"/>
          <w:sz w:val="24"/>
          <w:szCs w:val="24"/>
        </w:rPr>
        <w:t xml:space="preserve"> age, still remains low at 25</w:t>
      </w:r>
      <w:r w:rsidR="000A08E2">
        <w:rPr>
          <w:rFonts w:ascii="Times New Roman" w:hAnsi="Times New Roman"/>
          <w:sz w:val="24"/>
          <w:szCs w:val="24"/>
        </w:rPr>
        <w:t xml:space="preserve"> percent </w:t>
      </w:r>
      <w:r>
        <w:rPr>
          <w:rFonts w:ascii="Times New Roman" w:hAnsi="Times New Roman"/>
          <w:sz w:val="24"/>
          <w:szCs w:val="24"/>
        </w:rPr>
        <w:t xml:space="preserve">( UNESCO, 2009). For Sub-Saharan Africa, the participation rates in higher education remain among the lowest in the world, averaging less than </w:t>
      </w:r>
      <w:r w:rsidR="000A08E2">
        <w:rPr>
          <w:rFonts w:ascii="Times New Roman" w:hAnsi="Times New Roman"/>
          <w:sz w:val="24"/>
          <w:szCs w:val="24"/>
        </w:rPr>
        <w:t>six percent</w:t>
      </w:r>
      <w:r>
        <w:rPr>
          <w:rFonts w:ascii="Times New Roman" w:hAnsi="Times New Roman"/>
          <w:sz w:val="24"/>
          <w:szCs w:val="24"/>
        </w:rPr>
        <w:t xml:space="preserve"> for most countries, although the region has experienced the highest rates of growth in terms of student enrolments (Morley, Leach and Lugg 2008). </w:t>
      </w:r>
    </w:p>
    <w:p w:rsidR="0074580D" w:rsidRDefault="0074580D" w:rsidP="00F67EDF">
      <w:pPr>
        <w:spacing w:line="360" w:lineRule="auto"/>
        <w:contextualSpacing/>
        <w:jc w:val="both"/>
        <w:rPr>
          <w:rFonts w:ascii="Times New Roman" w:hAnsi="Times New Roman"/>
          <w:sz w:val="24"/>
          <w:szCs w:val="24"/>
        </w:rPr>
      </w:pPr>
    </w:p>
    <w:p w:rsidR="00F67EDF" w:rsidRDefault="00F405AD" w:rsidP="00F67EDF">
      <w:pPr>
        <w:spacing w:line="360" w:lineRule="auto"/>
        <w:contextualSpacing/>
        <w:jc w:val="both"/>
        <w:rPr>
          <w:rFonts w:ascii="Times New Roman" w:hAnsi="Times New Roman"/>
          <w:color w:val="231F20"/>
          <w:sz w:val="24"/>
          <w:szCs w:val="24"/>
          <w:lang w:val="en-US"/>
        </w:rPr>
      </w:pPr>
      <w:r>
        <w:rPr>
          <w:rFonts w:ascii="Times New Roman" w:hAnsi="Times New Roman"/>
          <w:sz w:val="24"/>
          <w:szCs w:val="24"/>
        </w:rPr>
        <w:t xml:space="preserve">      </w:t>
      </w:r>
      <w:r w:rsidR="00F67EDF">
        <w:rPr>
          <w:rFonts w:ascii="Times New Roman" w:hAnsi="Times New Roman"/>
          <w:sz w:val="24"/>
          <w:szCs w:val="24"/>
        </w:rPr>
        <w:t>This growth in enrolments has</w:t>
      </w:r>
      <w:r w:rsidR="0074580D">
        <w:rPr>
          <w:rFonts w:ascii="Times New Roman" w:hAnsi="Times New Roman"/>
          <w:sz w:val="24"/>
          <w:szCs w:val="24"/>
        </w:rPr>
        <w:t>,</w:t>
      </w:r>
      <w:r w:rsidR="00F67EDF">
        <w:rPr>
          <w:rFonts w:ascii="Times New Roman" w:hAnsi="Times New Roman"/>
          <w:sz w:val="24"/>
          <w:szCs w:val="24"/>
        </w:rPr>
        <w:t xml:space="preserve"> however</w:t>
      </w:r>
      <w:r w:rsidR="0074580D">
        <w:rPr>
          <w:rFonts w:ascii="Times New Roman" w:hAnsi="Times New Roman"/>
          <w:sz w:val="24"/>
          <w:szCs w:val="24"/>
        </w:rPr>
        <w:t>,</w:t>
      </w:r>
      <w:r w:rsidR="00F67EDF">
        <w:rPr>
          <w:rFonts w:ascii="Times New Roman" w:hAnsi="Times New Roman"/>
          <w:sz w:val="24"/>
          <w:szCs w:val="24"/>
        </w:rPr>
        <w:t xml:space="preserve"> been accompanied by gender disparities in access and participation. Female enrolments and participation in higher education in most countries of Sub-Saharan Africa range between 34 and 38</w:t>
      </w:r>
      <w:r w:rsidR="0074580D">
        <w:rPr>
          <w:rFonts w:ascii="Times New Roman" w:hAnsi="Times New Roman"/>
          <w:sz w:val="24"/>
          <w:szCs w:val="24"/>
        </w:rPr>
        <w:t xml:space="preserve"> percent</w:t>
      </w:r>
      <w:r w:rsidR="00F67EDF">
        <w:rPr>
          <w:rFonts w:ascii="Times New Roman" w:hAnsi="Times New Roman"/>
          <w:sz w:val="24"/>
          <w:szCs w:val="24"/>
        </w:rPr>
        <w:t xml:space="preserve"> for most countries.</w:t>
      </w:r>
      <w:r w:rsidR="00F67EDF" w:rsidRPr="00BB0679">
        <w:rPr>
          <w:rFonts w:ascii="Times New Roman" w:hAnsi="Times New Roman"/>
          <w:sz w:val="24"/>
          <w:szCs w:val="24"/>
        </w:rPr>
        <w:t xml:space="preserve"> </w:t>
      </w:r>
      <w:r w:rsidR="00F67EDF">
        <w:rPr>
          <w:rFonts w:ascii="Times New Roman" w:hAnsi="Times New Roman"/>
          <w:sz w:val="24"/>
          <w:szCs w:val="24"/>
        </w:rPr>
        <w:t xml:space="preserve">These disparities reflect the lower participation and transition rates of female students from secondary to higher education. </w:t>
      </w:r>
      <w:r w:rsidR="00F67EDF">
        <w:rPr>
          <w:rFonts w:ascii="Times New Roman" w:hAnsi="Times New Roman"/>
          <w:color w:val="231F20"/>
          <w:sz w:val="24"/>
          <w:szCs w:val="24"/>
          <w:lang w:val="en-US"/>
        </w:rPr>
        <w:t>Available data shows that though expansion in secondary enrollment</w:t>
      </w:r>
      <w:r w:rsidR="00F67EDF" w:rsidRPr="007527C1">
        <w:rPr>
          <w:rFonts w:ascii="Times New Roman" w:hAnsi="Times New Roman"/>
          <w:color w:val="231F20"/>
          <w:sz w:val="24"/>
          <w:szCs w:val="24"/>
          <w:lang w:val="en-US"/>
        </w:rPr>
        <w:t xml:space="preserve"> has led</w:t>
      </w:r>
      <w:r w:rsidR="00F67EDF">
        <w:rPr>
          <w:rFonts w:ascii="Times New Roman" w:hAnsi="Times New Roman"/>
          <w:color w:val="231F20"/>
          <w:sz w:val="24"/>
          <w:szCs w:val="24"/>
          <w:lang w:val="en-US"/>
        </w:rPr>
        <w:t xml:space="preserve"> </w:t>
      </w:r>
      <w:r w:rsidR="00F67EDF" w:rsidRPr="007527C1">
        <w:rPr>
          <w:rFonts w:ascii="Times New Roman" w:hAnsi="Times New Roman"/>
          <w:color w:val="231F20"/>
          <w:sz w:val="24"/>
          <w:szCs w:val="24"/>
          <w:lang w:val="en-US"/>
        </w:rPr>
        <w:t>to reductions in gen</w:t>
      </w:r>
      <w:r w:rsidR="00F67EDF">
        <w:rPr>
          <w:rFonts w:ascii="Times New Roman" w:hAnsi="Times New Roman"/>
          <w:color w:val="231F20"/>
          <w:sz w:val="24"/>
          <w:szCs w:val="24"/>
          <w:lang w:val="en-US"/>
        </w:rPr>
        <w:t>der disparities in most regions, the disparities remain larger</w:t>
      </w:r>
      <w:r w:rsidR="00F67EDF" w:rsidRPr="007527C1">
        <w:rPr>
          <w:rFonts w:ascii="Times New Roman" w:hAnsi="Times New Roman"/>
          <w:color w:val="231F20"/>
          <w:sz w:val="24"/>
          <w:szCs w:val="24"/>
          <w:lang w:val="en-US"/>
        </w:rPr>
        <w:t xml:space="preserve"> in secondary</w:t>
      </w:r>
      <w:r w:rsidR="00F67EDF">
        <w:rPr>
          <w:rFonts w:ascii="Times New Roman" w:hAnsi="Times New Roman"/>
          <w:color w:val="231F20"/>
          <w:sz w:val="24"/>
          <w:szCs w:val="24"/>
          <w:lang w:val="en-US"/>
        </w:rPr>
        <w:t xml:space="preserve"> than in primary education (UNESCO, 2009).</w:t>
      </w:r>
      <w:r w:rsidR="00F67EDF" w:rsidRPr="007527C1">
        <w:rPr>
          <w:rFonts w:ascii="Times New Roman" w:hAnsi="Times New Roman"/>
          <w:color w:val="231F20"/>
          <w:sz w:val="24"/>
          <w:szCs w:val="24"/>
          <w:lang w:val="en-US"/>
        </w:rPr>
        <w:t xml:space="preserve"> </w:t>
      </w:r>
    </w:p>
    <w:p w:rsidR="00F67EDF" w:rsidRDefault="00F67EDF" w:rsidP="00F67EDF">
      <w:pPr>
        <w:spacing w:line="360" w:lineRule="auto"/>
        <w:contextualSpacing/>
        <w:jc w:val="both"/>
        <w:rPr>
          <w:rFonts w:ascii="Times New Roman" w:hAnsi="Times New Roman"/>
          <w:sz w:val="24"/>
          <w:szCs w:val="24"/>
        </w:rPr>
      </w:pPr>
    </w:p>
    <w:p w:rsidR="0074580D"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sidRPr="00BB0679">
        <w:rPr>
          <w:rFonts w:ascii="Times New Roman" w:hAnsi="Times New Roman"/>
          <w:sz w:val="24"/>
          <w:szCs w:val="24"/>
        </w:rPr>
        <w:t>Analysis of gender patterns of access to degree programs, retention and c</w:t>
      </w:r>
      <w:r w:rsidR="00F67EDF">
        <w:rPr>
          <w:rFonts w:ascii="Times New Roman" w:hAnsi="Times New Roman"/>
          <w:sz w:val="24"/>
          <w:szCs w:val="24"/>
        </w:rPr>
        <w:t xml:space="preserve">ompletion rates </w:t>
      </w:r>
      <w:r w:rsidR="0074580D">
        <w:rPr>
          <w:rFonts w:ascii="Times New Roman" w:hAnsi="Times New Roman"/>
          <w:sz w:val="24"/>
          <w:szCs w:val="24"/>
        </w:rPr>
        <w:t xml:space="preserve">in most African countries </w:t>
      </w:r>
      <w:r w:rsidR="00F67EDF">
        <w:rPr>
          <w:rFonts w:ascii="Times New Roman" w:hAnsi="Times New Roman"/>
          <w:sz w:val="24"/>
          <w:szCs w:val="24"/>
        </w:rPr>
        <w:t>reveal that institutions are admitting slightly more female students</w:t>
      </w:r>
      <w:r w:rsidR="00F67EDF" w:rsidRPr="00BB0679">
        <w:rPr>
          <w:rFonts w:ascii="Times New Roman" w:hAnsi="Times New Roman"/>
          <w:sz w:val="24"/>
          <w:szCs w:val="24"/>
        </w:rPr>
        <w:t xml:space="preserve"> through affirmative progra</w:t>
      </w:r>
      <w:r w:rsidR="00F67EDF">
        <w:rPr>
          <w:rFonts w:ascii="Times New Roman" w:hAnsi="Times New Roman"/>
          <w:sz w:val="24"/>
          <w:szCs w:val="24"/>
        </w:rPr>
        <w:t xml:space="preserve">mmes or qualifying examinations. However, a higher percentage of </w:t>
      </w:r>
      <w:r w:rsidR="00F67EDF">
        <w:rPr>
          <w:rFonts w:ascii="Times New Roman" w:hAnsi="Times New Roman"/>
          <w:sz w:val="24"/>
          <w:szCs w:val="24"/>
        </w:rPr>
        <w:lastRenderedPageBreak/>
        <w:t>this cohort</w:t>
      </w:r>
      <w:r w:rsidR="00F67EDF" w:rsidRPr="00BB0679">
        <w:rPr>
          <w:rFonts w:ascii="Times New Roman" w:hAnsi="Times New Roman"/>
          <w:sz w:val="24"/>
          <w:szCs w:val="24"/>
        </w:rPr>
        <w:t xml:space="preserve"> are </w:t>
      </w:r>
      <w:r w:rsidR="00F67EDF">
        <w:rPr>
          <w:rFonts w:ascii="Times New Roman" w:hAnsi="Times New Roman"/>
          <w:sz w:val="24"/>
          <w:szCs w:val="24"/>
        </w:rPr>
        <w:t xml:space="preserve">either </w:t>
      </w:r>
      <w:r w:rsidR="00F67EDF" w:rsidRPr="00BB0679">
        <w:rPr>
          <w:rFonts w:ascii="Times New Roman" w:hAnsi="Times New Roman"/>
          <w:sz w:val="24"/>
          <w:szCs w:val="24"/>
        </w:rPr>
        <w:t xml:space="preserve">placed in disciplines that have a lower premium in the labor market, are likely to drop out, or take longer to complete their studies due to various gendered factors. Policy efforts to increase the percentage of female students </w:t>
      </w:r>
      <w:r w:rsidR="00F67EDF">
        <w:rPr>
          <w:rFonts w:ascii="Times New Roman" w:hAnsi="Times New Roman"/>
          <w:sz w:val="24"/>
          <w:szCs w:val="24"/>
        </w:rPr>
        <w:t>in</w:t>
      </w:r>
      <w:r w:rsidR="00F67EDF" w:rsidRPr="00BB0679">
        <w:rPr>
          <w:rFonts w:ascii="Times New Roman" w:hAnsi="Times New Roman"/>
          <w:sz w:val="24"/>
          <w:szCs w:val="24"/>
        </w:rPr>
        <w:t xml:space="preserve"> higher education and address gender based barriers have so far focused on selective demand and supply factor</w:t>
      </w:r>
      <w:r w:rsidR="00F67EDF">
        <w:rPr>
          <w:rFonts w:ascii="Times New Roman" w:hAnsi="Times New Roman"/>
          <w:sz w:val="24"/>
          <w:szCs w:val="24"/>
        </w:rPr>
        <w:t>s.</w:t>
      </w:r>
      <w:r w:rsidR="00F67EDF" w:rsidRPr="00BB0679">
        <w:rPr>
          <w:rFonts w:ascii="Times New Roman" w:hAnsi="Times New Roman"/>
          <w:sz w:val="24"/>
          <w:szCs w:val="24"/>
        </w:rPr>
        <w:t xml:space="preserve"> The increase in the number of higher education institutions has also increased places for female students, though this </w:t>
      </w:r>
      <w:r w:rsidR="00F67EDF">
        <w:rPr>
          <w:rFonts w:ascii="Times New Roman" w:hAnsi="Times New Roman"/>
          <w:sz w:val="24"/>
          <w:szCs w:val="24"/>
        </w:rPr>
        <w:t xml:space="preserve">has not been the target. </w:t>
      </w:r>
      <w:r w:rsidR="0074580D">
        <w:rPr>
          <w:rFonts w:ascii="Times New Roman" w:hAnsi="Times New Roman"/>
          <w:sz w:val="24"/>
          <w:szCs w:val="24"/>
        </w:rPr>
        <w:t>In fact s</w:t>
      </w:r>
      <w:r w:rsidR="00F67EDF">
        <w:rPr>
          <w:rFonts w:ascii="Times New Roman" w:hAnsi="Times New Roman"/>
          <w:sz w:val="24"/>
          <w:szCs w:val="24"/>
        </w:rPr>
        <w:t xml:space="preserve">tudies show that affirmative action policies and increase in the number of higher education institutions have not </w:t>
      </w:r>
      <w:r w:rsidR="00F67EDF" w:rsidRPr="00BB0679">
        <w:rPr>
          <w:rFonts w:ascii="Times New Roman" w:hAnsi="Times New Roman"/>
          <w:sz w:val="24"/>
          <w:szCs w:val="24"/>
        </w:rPr>
        <w:t xml:space="preserve">comprehensively </w:t>
      </w:r>
      <w:r w:rsidR="00F67EDF">
        <w:rPr>
          <w:rFonts w:ascii="Times New Roman" w:hAnsi="Times New Roman"/>
          <w:sz w:val="24"/>
          <w:szCs w:val="24"/>
        </w:rPr>
        <w:t xml:space="preserve">addressed </w:t>
      </w:r>
      <w:r w:rsidR="00F67EDF" w:rsidRPr="00BB0679">
        <w:rPr>
          <w:rFonts w:ascii="Times New Roman" w:hAnsi="Times New Roman"/>
          <w:sz w:val="24"/>
          <w:szCs w:val="24"/>
        </w:rPr>
        <w:t>the gender barriers that characterize access and participation in higher education.</w:t>
      </w:r>
      <w:r w:rsidR="00F67EDF">
        <w:rPr>
          <w:rFonts w:ascii="Times New Roman" w:hAnsi="Times New Roman"/>
          <w:sz w:val="24"/>
          <w:szCs w:val="24"/>
        </w:rPr>
        <w:t xml:space="preserve"> </w:t>
      </w:r>
    </w:p>
    <w:p w:rsidR="0074580D" w:rsidRDefault="0074580D" w:rsidP="00F67EDF">
      <w:pPr>
        <w:spacing w:line="360" w:lineRule="auto"/>
        <w:contextualSpacing/>
        <w:jc w:val="both"/>
        <w:rPr>
          <w:rFonts w:ascii="Times New Roman" w:hAnsi="Times New Roman"/>
          <w:sz w:val="24"/>
          <w:szCs w:val="24"/>
        </w:rPr>
      </w:pPr>
    </w:p>
    <w:p w:rsidR="00F67EDF"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Pr>
          <w:rFonts w:ascii="Times New Roman" w:hAnsi="Times New Roman"/>
          <w:sz w:val="24"/>
          <w:szCs w:val="24"/>
        </w:rPr>
        <w:t>Of greater concern</w:t>
      </w:r>
      <w:r w:rsidR="00F67EDF" w:rsidRPr="00BB0679">
        <w:rPr>
          <w:rFonts w:ascii="Times New Roman" w:hAnsi="Times New Roman"/>
          <w:sz w:val="24"/>
          <w:szCs w:val="24"/>
        </w:rPr>
        <w:t xml:space="preserve"> is emerging </w:t>
      </w:r>
      <w:r w:rsidR="00F67EDF">
        <w:rPr>
          <w:rFonts w:ascii="Times New Roman" w:hAnsi="Times New Roman"/>
          <w:sz w:val="24"/>
          <w:szCs w:val="24"/>
        </w:rPr>
        <w:t>evidence that despite the nominal</w:t>
      </w:r>
      <w:r w:rsidR="00F67EDF" w:rsidRPr="00BB0679">
        <w:rPr>
          <w:rFonts w:ascii="Times New Roman" w:hAnsi="Times New Roman"/>
          <w:sz w:val="24"/>
          <w:szCs w:val="24"/>
        </w:rPr>
        <w:t xml:space="preserve"> increase in the number of female students accessing the institutions, the social class composition from where suc</w:t>
      </w:r>
      <w:r w:rsidR="00F67EDF">
        <w:rPr>
          <w:rFonts w:ascii="Times New Roman" w:hAnsi="Times New Roman"/>
          <w:sz w:val="24"/>
          <w:szCs w:val="24"/>
        </w:rPr>
        <w:t>h female students are drawn</w:t>
      </w:r>
      <w:r w:rsidR="00F67EDF" w:rsidRPr="00BB0679">
        <w:rPr>
          <w:rFonts w:ascii="Times New Roman" w:hAnsi="Times New Roman"/>
          <w:sz w:val="24"/>
          <w:szCs w:val="24"/>
        </w:rPr>
        <w:t xml:space="preserve"> has largely remained the same and restricted</w:t>
      </w:r>
      <w:r w:rsidR="00F67EDF">
        <w:rPr>
          <w:rFonts w:ascii="Times New Roman" w:hAnsi="Times New Roman"/>
          <w:sz w:val="24"/>
          <w:szCs w:val="24"/>
        </w:rPr>
        <w:t xml:space="preserve"> to those who can afford the rising costs of higher education(Morley </w:t>
      </w:r>
      <w:r w:rsidR="0074580D">
        <w:rPr>
          <w:rFonts w:ascii="Times New Roman" w:hAnsi="Times New Roman"/>
          <w:sz w:val="24"/>
          <w:szCs w:val="24"/>
        </w:rPr>
        <w:t>L</w:t>
      </w:r>
      <w:r w:rsidR="00F67EDF">
        <w:rPr>
          <w:rFonts w:ascii="Times New Roman" w:hAnsi="Times New Roman"/>
          <w:sz w:val="24"/>
          <w:szCs w:val="24"/>
        </w:rPr>
        <w:t xml:space="preserve">each and </w:t>
      </w:r>
      <w:r w:rsidR="0074580D">
        <w:rPr>
          <w:rFonts w:ascii="Times New Roman" w:hAnsi="Times New Roman"/>
          <w:sz w:val="24"/>
          <w:szCs w:val="24"/>
        </w:rPr>
        <w:t>L</w:t>
      </w:r>
      <w:r w:rsidR="00F67EDF">
        <w:rPr>
          <w:rFonts w:ascii="Times New Roman" w:hAnsi="Times New Roman"/>
          <w:sz w:val="24"/>
          <w:szCs w:val="24"/>
        </w:rPr>
        <w:t>ugg, 2008)</w:t>
      </w:r>
      <w:r w:rsidR="00F67EDF" w:rsidRPr="00BB0679">
        <w:rPr>
          <w:rFonts w:ascii="Times New Roman" w:hAnsi="Times New Roman"/>
          <w:sz w:val="24"/>
          <w:szCs w:val="24"/>
        </w:rPr>
        <w:t xml:space="preserve">. This means that existing affirmative policies </w:t>
      </w:r>
      <w:r w:rsidR="00F67EDF">
        <w:rPr>
          <w:rFonts w:ascii="Times New Roman" w:hAnsi="Times New Roman"/>
          <w:sz w:val="24"/>
          <w:szCs w:val="24"/>
        </w:rPr>
        <w:t>as designed and implemented by the institutions ha</w:t>
      </w:r>
      <w:r w:rsidR="0074580D">
        <w:rPr>
          <w:rFonts w:ascii="Times New Roman" w:hAnsi="Times New Roman"/>
          <w:sz w:val="24"/>
          <w:szCs w:val="24"/>
        </w:rPr>
        <w:t>ve</w:t>
      </w:r>
      <w:r w:rsidR="00F67EDF">
        <w:rPr>
          <w:rFonts w:ascii="Times New Roman" w:hAnsi="Times New Roman"/>
          <w:sz w:val="24"/>
          <w:szCs w:val="24"/>
        </w:rPr>
        <w:t xml:space="preserve"> not</w:t>
      </w:r>
      <w:r w:rsidR="00F67EDF" w:rsidRPr="00BB0679">
        <w:rPr>
          <w:rFonts w:ascii="Times New Roman" w:hAnsi="Times New Roman"/>
          <w:sz w:val="24"/>
          <w:szCs w:val="24"/>
        </w:rPr>
        <w:t xml:space="preserve"> address</w:t>
      </w:r>
      <w:r w:rsidR="00F67EDF">
        <w:rPr>
          <w:rFonts w:ascii="Times New Roman" w:hAnsi="Times New Roman"/>
          <w:sz w:val="24"/>
          <w:szCs w:val="24"/>
        </w:rPr>
        <w:t>ed</w:t>
      </w:r>
      <w:r w:rsidR="00F67EDF" w:rsidRPr="00BB0679">
        <w:rPr>
          <w:rFonts w:ascii="Times New Roman" w:hAnsi="Times New Roman"/>
          <w:sz w:val="24"/>
          <w:szCs w:val="24"/>
        </w:rPr>
        <w:t xml:space="preserve"> other intersecting barriers t</w:t>
      </w:r>
      <w:r w:rsidR="00F67EDF">
        <w:rPr>
          <w:rFonts w:ascii="Times New Roman" w:hAnsi="Times New Roman"/>
          <w:sz w:val="24"/>
          <w:szCs w:val="24"/>
        </w:rPr>
        <w:t>hat limit the possibilities of the</w:t>
      </w:r>
      <w:r w:rsidR="00F67EDF" w:rsidRPr="00BB0679">
        <w:rPr>
          <w:rFonts w:ascii="Times New Roman" w:hAnsi="Times New Roman"/>
          <w:sz w:val="24"/>
          <w:szCs w:val="24"/>
        </w:rPr>
        <w:t xml:space="preserve"> majority of the women accessing and participating in higher education. </w:t>
      </w:r>
      <w:r w:rsidR="00F67EDF">
        <w:rPr>
          <w:rFonts w:ascii="Times New Roman" w:hAnsi="Times New Roman"/>
          <w:sz w:val="24"/>
          <w:szCs w:val="24"/>
        </w:rPr>
        <w:t xml:space="preserve">The needed </w:t>
      </w:r>
      <w:r w:rsidR="00F67EDF" w:rsidRPr="00BB0679">
        <w:rPr>
          <w:rFonts w:ascii="Times New Roman" w:hAnsi="Times New Roman"/>
          <w:sz w:val="24"/>
          <w:szCs w:val="24"/>
        </w:rPr>
        <w:t xml:space="preserve">institutional responses and initiatives </w:t>
      </w:r>
      <w:r w:rsidR="00F67EDF">
        <w:rPr>
          <w:rFonts w:ascii="Times New Roman" w:hAnsi="Times New Roman"/>
          <w:sz w:val="24"/>
          <w:szCs w:val="24"/>
        </w:rPr>
        <w:t xml:space="preserve">are those that </w:t>
      </w:r>
      <w:r w:rsidR="00F67EDF" w:rsidRPr="00BB0679">
        <w:rPr>
          <w:rFonts w:ascii="Times New Roman" w:hAnsi="Times New Roman"/>
          <w:sz w:val="24"/>
          <w:szCs w:val="24"/>
        </w:rPr>
        <w:t>go beyond access and address the gendered cultures of higher education institutions, provide practical support mechanisms that enhance chances of retention and completion, and</w:t>
      </w:r>
      <w:r w:rsidR="00F67EDF">
        <w:rPr>
          <w:rFonts w:ascii="Times New Roman" w:hAnsi="Times New Roman"/>
          <w:sz w:val="24"/>
          <w:szCs w:val="24"/>
        </w:rPr>
        <w:t xml:space="preserve"> </w:t>
      </w:r>
      <w:r w:rsidR="00F67EDF" w:rsidRPr="00BB0679">
        <w:rPr>
          <w:rFonts w:ascii="Times New Roman" w:hAnsi="Times New Roman"/>
          <w:sz w:val="24"/>
          <w:szCs w:val="24"/>
        </w:rPr>
        <w:t xml:space="preserve">contribute to deepening gender responsive policies in higher education institutions. </w:t>
      </w:r>
      <w:r w:rsidR="00F67EDF">
        <w:rPr>
          <w:rFonts w:ascii="Times New Roman" w:hAnsi="Times New Roman"/>
          <w:sz w:val="24"/>
          <w:szCs w:val="24"/>
        </w:rPr>
        <w:t>This chapter provides</w:t>
      </w:r>
      <w:r w:rsidR="00F67EDF" w:rsidRPr="00BB0679">
        <w:rPr>
          <w:rFonts w:ascii="Times New Roman" w:hAnsi="Times New Roman"/>
          <w:sz w:val="24"/>
          <w:szCs w:val="24"/>
        </w:rPr>
        <w:t xml:space="preserve"> a comparative review of gender patterns of participation in higher education in Africa, with emphasis on Kenya and Nigeria</w:t>
      </w:r>
      <w:r w:rsidR="00F67EDF">
        <w:rPr>
          <w:rFonts w:ascii="Times New Roman" w:hAnsi="Times New Roman"/>
          <w:sz w:val="24"/>
          <w:szCs w:val="24"/>
        </w:rPr>
        <w:t xml:space="preserve">, discusses </w:t>
      </w:r>
      <w:r w:rsidR="00F67EDF" w:rsidRPr="00BB0679">
        <w:rPr>
          <w:rFonts w:ascii="Times New Roman" w:hAnsi="Times New Roman"/>
          <w:sz w:val="24"/>
          <w:szCs w:val="24"/>
        </w:rPr>
        <w:t>the ‘new gendered zones’ of exclusion in African</w:t>
      </w:r>
      <w:r w:rsidR="00F67EDF">
        <w:rPr>
          <w:rFonts w:ascii="Times New Roman" w:hAnsi="Times New Roman"/>
          <w:sz w:val="24"/>
          <w:szCs w:val="24"/>
        </w:rPr>
        <w:t xml:space="preserve"> higher education and document  some on-going institutional</w:t>
      </w:r>
      <w:r w:rsidR="0074580D">
        <w:rPr>
          <w:rFonts w:ascii="Times New Roman" w:hAnsi="Times New Roman"/>
          <w:sz w:val="24"/>
          <w:szCs w:val="24"/>
        </w:rPr>
        <w:t>-</w:t>
      </w:r>
      <w:r w:rsidR="00F67EDF">
        <w:rPr>
          <w:rFonts w:ascii="Times New Roman" w:hAnsi="Times New Roman"/>
          <w:sz w:val="24"/>
          <w:szCs w:val="24"/>
        </w:rPr>
        <w:t xml:space="preserve"> level interventions to address the challenges.</w:t>
      </w:r>
    </w:p>
    <w:p w:rsidR="00F67EDF" w:rsidRDefault="00F67EDF" w:rsidP="00F67EDF">
      <w:pPr>
        <w:spacing w:line="360" w:lineRule="auto"/>
        <w:contextualSpacing/>
        <w:jc w:val="center"/>
        <w:rPr>
          <w:rFonts w:ascii="Times New Roman" w:hAnsi="Times New Roman"/>
          <w:b/>
          <w:sz w:val="24"/>
          <w:szCs w:val="24"/>
        </w:rPr>
      </w:pPr>
    </w:p>
    <w:p w:rsidR="00F67EDF" w:rsidRPr="00BB0679" w:rsidRDefault="00F67EDF" w:rsidP="00F67EDF">
      <w:pPr>
        <w:rPr>
          <w:rFonts w:ascii="Times New Roman" w:hAnsi="Times New Roman"/>
          <w:b/>
          <w:sz w:val="24"/>
          <w:szCs w:val="24"/>
        </w:rPr>
      </w:pPr>
      <w:r>
        <w:rPr>
          <w:rFonts w:ascii="Times New Roman" w:hAnsi="Times New Roman"/>
          <w:b/>
          <w:sz w:val="24"/>
          <w:szCs w:val="24"/>
        </w:rPr>
        <w:t xml:space="preserve">Transition </w:t>
      </w:r>
      <w:r w:rsidRPr="00BB0679">
        <w:rPr>
          <w:rFonts w:ascii="Times New Roman" w:hAnsi="Times New Roman"/>
          <w:b/>
          <w:sz w:val="24"/>
          <w:szCs w:val="24"/>
        </w:rPr>
        <w:t xml:space="preserve">of Female </w:t>
      </w:r>
      <w:r>
        <w:rPr>
          <w:rFonts w:ascii="Times New Roman" w:hAnsi="Times New Roman"/>
          <w:b/>
          <w:sz w:val="24"/>
          <w:szCs w:val="24"/>
        </w:rPr>
        <w:t xml:space="preserve">Students from </w:t>
      </w:r>
      <w:r w:rsidRPr="004C184A">
        <w:rPr>
          <w:rFonts w:ascii="Times New Roman" w:hAnsi="Times New Roman"/>
          <w:b/>
          <w:sz w:val="24"/>
          <w:szCs w:val="24"/>
        </w:rPr>
        <w:t>Secondary to</w:t>
      </w:r>
      <w:r>
        <w:rPr>
          <w:rFonts w:ascii="Times New Roman" w:hAnsi="Times New Roman"/>
          <w:b/>
          <w:sz w:val="24"/>
          <w:szCs w:val="24"/>
        </w:rPr>
        <w:t xml:space="preserve"> </w:t>
      </w:r>
      <w:r w:rsidRPr="00BB0679">
        <w:rPr>
          <w:rFonts w:ascii="Times New Roman" w:hAnsi="Times New Roman"/>
          <w:b/>
          <w:sz w:val="24"/>
          <w:szCs w:val="24"/>
        </w:rPr>
        <w:t>Higher Education in Africa</w:t>
      </w:r>
    </w:p>
    <w:p w:rsidR="00F67EDF" w:rsidRDefault="0074580D" w:rsidP="00F67EDF">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Throughout</w:t>
      </w:r>
      <w:r w:rsidR="00F67EDF" w:rsidRPr="00BB0679">
        <w:rPr>
          <w:rFonts w:ascii="Times New Roman" w:hAnsi="Times New Roman"/>
          <w:sz w:val="24"/>
          <w:szCs w:val="24"/>
        </w:rPr>
        <w:t xml:space="preserve"> Sub-Saharan Africa, the percentage of female students accessing and participating in all levels of educa</w:t>
      </w:r>
      <w:r w:rsidR="00F67EDF">
        <w:rPr>
          <w:rFonts w:ascii="Times New Roman" w:hAnsi="Times New Roman"/>
          <w:sz w:val="24"/>
          <w:szCs w:val="24"/>
        </w:rPr>
        <w:t>tion</w:t>
      </w:r>
      <w:r>
        <w:rPr>
          <w:rFonts w:ascii="Times New Roman" w:hAnsi="Times New Roman"/>
          <w:sz w:val="24"/>
          <w:szCs w:val="24"/>
        </w:rPr>
        <w:t xml:space="preserve"> is increasing</w:t>
      </w:r>
      <w:r w:rsidR="00F67EDF">
        <w:rPr>
          <w:rFonts w:ascii="Times New Roman" w:hAnsi="Times New Roman"/>
          <w:sz w:val="24"/>
          <w:szCs w:val="24"/>
        </w:rPr>
        <w:t>.</w:t>
      </w:r>
      <w:r w:rsidR="00F67EDF" w:rsidRPr="00BB0679">
        <w:rPr>
          <w:rFonts w:ascii="Times New Roman" w:hAnsi="Times New Roman"/>
          <w:sz w:val="24"/>
          <w:szCs w:val="24"/>
        </w:rPr>
        <w:t xml:space="preserve"> Successful international campaigns for gender equity in education and social development coupled with adoption of</w:t>
      </w:r>
      <w:r w:rsidR="00F67EDF">
        <w:rPr>
          <w:rFonts w:ascii="Times New Roman" w:hAnsi="Times New Roman"/>
          <w:sz w:val="24"/>
          <w:szCs w:val="24"/>
        </w:rPr>
        <w:t xml:space="preserve"> gender responsive policies at</w:t>
      </w:r>
      <w:r w:rsidR="00F67EDF" w:rsidRPr="00BB0679">
        <w:rPr>
          <w:rFonts w:ascii="Times New Roman" w:hAnsi="Times New Roman"/>
          <w:sz w:val="24"/>
          <w:szCs w:val="24"/>
        </w:rPr>
        <w:t xml:space="preserve"> national level</w:t>
      </w:r>
      <w:r>
        <w:rPr>
          <w:rFonts w:ascii="Times New Roman" w:hAnsi="Times New Roman"/>
          <w:sz w:val="24"/>
          <w:szCs w:val="24"/>
        </w:rPr>
        <w:t>s</w:t>
      </w:r>
      <w:r w:rsidR="00F67EDF">
        <w:rPr>
          <w:rFonts w:ascii="Times New Roman" w:hAnsi="Times New Roman"/>
          <w:sz w:val="24"/>
          <w:szCs w:val="24"/>
        </w:rPr>
        <w:t xml:space="preserve"> have contributed to this increasing trend in </w:t>
      </w:r>
      <w:r>
        <w:rPr>
          <w:rFonts w:ascii="Times New Roman" w:hAnsi="Times New Roman"/>
          <w:sz w:val="24"/>
          <w:szCs w:val="24"/>
        </w:rPr>
        <w:t>enrol</w:t>
      </w:r>
      <w:r w:rsidR="00027ECC">
        <w:rPr>
          <w:rFonts w:ascii="Times New Roman" w:hAnsi="Times New Roman"/>
          <w:sz w:val="24"/>
          <w:szCs w:val="24"/>
        </w:rPr>
        <w:t>l</w:t>
      </w:r>
      <w:r>
        <w:rPr>
          <w:rFonts w:ascii="Times New Roman" w:hAnsi="Times New Roman"/>
          <w:sz w:val="24"/>
          <w:szCs w:val="24"/>
        </w:rPr>
        <w:t>ments</w:t>
      </w:r>
      <w:r w:rsidR="00F67EDF">
        <w:rPr>
          <w:rFonts w:ascii="Times New Roman" w:hAnsi="Times New Roman"/>
          <w:sz w:val="24"/>
          <w:szCs w:val="24"/>
        </w:rPr>
        <w:t>.</w:t>
      </w:r>
      <w:r w:rsidR="00F67EDF" w:rsidRPr="00BB0679">
        <w:rPr>
          <w:rFonts w:ascii="Times New Roman" w:hAnsi="Times New Roman"/>
          <w:sz w:val="24"/>
          <w:szCs w:val="24"/>
        </w:rPr>
        <w:t xml:space="preserve"> Progress achieved in </w:t>
      </w:r>
      <w:r w:rsidR="00F67EDF" w:rsidRPr="00BB0679">
        <w:rPr>
          <w:rFonts w:ascii="Times New Roman" w:hAnsi="Times New Roman"/>
          <w:sz w:val="24"/>
          <w:szCs w:val="24"/>
        </w:rPr>
        <w:lastRenderedPageBreak/>
        <w:t>primary and secondary education</w:t>
      </w:r>
      <w:r w:rsidR="00F67EDF">
        <w:rPr>
          <w:rFonts w:ascii="Times New Roman" w:hAnsi="Times New Roman"/>
          <w:sz w:val="24"/>
          <w:szCs w:val="24"/>
        </w:rPr>
        <w:t xml:space="preserve"> influence access and participation patterns in higher education</w:t>
      </w:r>
      <w:r w:rsidR="00F67EDF" w:rsidRPr="00BB0679">
        <w:rPr>
          <w:rFonts w:ascii="Times New Roman" w:hAnsi="Times New Roman"/>
          <w:sz w:val="24"/>
          <w:szCs w:val="24"/>
        </w:rPr>
        <w:t xml:space="preserve">. </w:t>
      </w:r>
      <w:r w:rsidR="00F67EDF">
        <w:rPr>
          <w:rFonts w:ascii="Times New Roman" w:hAnsi="Times New Roman"/>
          <w:sz w:val="24"/>
          <w:szCs w:val="24"/>
        </w:rPr>
        <w:t xml:space="preserve"> Data from current surveys show that whereas most countries in Sub-Saharan Africa registered primary school net enrolment rates (NERs) of </w:t>
      </w:r>
      <w:r>
        <w:rPr>
          <w:rFonts w:ascii="Times New Roman" w:hAnsi="Times New Roman"/>
          <w:sz w:val="24"/>
          <w:szCs w:val="24"/>
        </w:rPr>
        <w:t>more than</w:t>
      </w:r>
      <w:r w:rsidR="00F67EDF">
        <w:rPr>
          <w:rFonts w:ascii="Times New Roman" w:hAnsi="Times New Roman"/>
          <w:sz w:val="24"/>
          <w:szCs w:val="24"/>
        </w:rPr>
        <w:t xml:space="preserve"> 70</w:t>
      </w:r>
      <w:r>
        <w:rPr>
          <w:rFonts w:ascii="Times New Roman" w:hAnsi="Times New Roman"/>
          <w:sz w:val="24"/>
          <w:szCs w:val="24"/>
        </w:rPr>
        <w:t xml:space="preserve"> percent</w:t>
      </w:r>
      <w:r w:rsidR="00F67EDF">
        <w:rPr>
          <w:rFonts w:ascii="Times New Roman" w:hAnsi="Times New Roman"/>
          <w:sz w:val="24"/>
          <w:szCs w:val="24"/>
        </w:rPr>
        <w:t>, half of the countries have not achieved gender parity in enrol</w:t>
      </w:r>
      <w:r w:rsidR="00027ECC">
        <w:rPr>
          <w:rFonts w:ascii="Times New Roman" w:hAnsi="Times New Roman"/>
          <w:sz w:val="24"/>
          <w:szCs w:val="24"/>
        </w:rPr>
        <w:t>l</w:t>
      </w:r>
      <w:r w:rsidR="00F67EDF">
        <w:rPr>
          <w:rFonts w:ascii="Times New Roman" w:hAnsi="Times New Roman"/>
          <w:sz w:val="24"/>
          <w:szCs w:val="24"/>
        </w:rPr>
        <w:t>ments, with fewer females enrolling and completing the primary school cycle (UNESCO, 2009). About 58</w:t>
      </w:r>
      <w:r>
        <w:rPr>
          <w:rFonts w:ascii="Times New Roman" w:hAnsi="Times New Roman"/>
          <w:sz w:val="24"/>
          <w:szCs w:val="24"/>
        </w:rPr>
        <w:t xml:space="preserve"> percent</w:t>
      </w:r>
      <w:r w:rsidR="00F67EDF">
        <w:rPr>
          <w:rFonts w:ascii="Times New Roman" w:hAnsi="Times New Roman"/>
          <w:sz w:val="24"/>
          <w:szCs w:val="24"/>
        </w:rPr>
        <w:t xml:space="preserve"> of countries in Sub-Saharan Africa </w:t>
      </w:r>
      <w:r w:rsidR="00F67EDF" w:rsidRPr="00BB0679">
        <w:rPr>
          <w:rFonts w:ascii="Times New Roman" w:hAnsi="Times New Roman"/>
          <w:sz w:val="24"/>
          <w:szCs w:val="24"/>
        </w:rPr>
        <w:t xml:space="preserve">have differences </w:t>
      </w:r>
      <w:r w:rsidR="00F67EDF">
        <w:rPr>
          <w:rFonts w:ascii="Times New Roman" w:hAnsi="Times New Roman"/>
          <w:sz w:val="24"/>
          <w:szCs w:val="24"/>
        </w:rPr>
        <w:t xml:space="preserve">in primary school participation </w:t>
      </w:r>
      <w:r w:rsidR="00F67EDF" w:rsidRPr="00BB0679">
        <w:rPr>
          <w:rFonts w:ascii="Times New Roman" w:hAnsi="Times New Roman"/>
          <w:sz w:val="24"/>
          <w:szCs w:val="24"/>
        </w:rPr>
        <w:t xml:space="preserve">between </w:t>
      </w:r>
      <w:r w:rsidR="00F67EDF">
        <w:rPr>
          <w:rFonts w:ascii="Times New Roman" w:hAnsi="Times New Roman"/>
          <w:sz w:val="24"/>
          <w:szCs w:val="24"/>
        </w:rPr>
        <w:t>males</w:t>
      </w:r>
      <w:r w:rsidR="00F67EDF" w:rsidRPr="00BB0679">
        <w:rPr>
          <w:rFonts w:ascii="Times New Roman" w:hAnsi="Times New Roman"/>
          <w:sz w:val="24"/>
          <w:szCs w:val="24"/>
        </w:rPr>
        <w:t xml:space="preserve"> and </w:t>
      </w:r>
      <w:r w:rsidR="00F67EDF">
        <w:rPr>
          <w:rFonts w:ascii="Times New Roman" w:hAnsi="Times New Roman"/>
          <w:sz w:val="24"/>
          <w:szCs w:val="24"/>
        </w:rPr>
        <w:t>females</w:t>
      </w:r>
      <w:r w:rsidR="00F67EDF" w:rsidRPr="00BB0679">
        <w:rPr>
          <w:rFonts w:ascii="Times New Roman" w:hAnsi="Times New Roman"/>
          <w:sz w:val="24"/>
          <w:szCs w:val="24"/>
        </w:rPr>
        <w:t xml:space="preserve"> that are smaller than </w:t>
      </w:r>
      <w:r>
        <w:rPr>
          <w:rFonts w:ascii="Times New Roman" w:hAnsi="Times New Roman"/>
          <w:sz w:val="24"/>
          <w:szCs w:val="24"/>
        </w:rPr>
        <w:t>six</w:t>
      </w:r>
      <w:r w:rsidR="00F67EDF" w:rsidRPr="00BB0679">
        <w:rPr>
          <w:rFonts w:ascii="Times New Roman" w:hAnsi="Times New Roman"/>
          <w:sz w:val="24"/>
          <w:szCs w:val="24"/>
        </w:rPr>
        <w:t xml:space="preserve"> </w:t>
      </w:r>
      <w:r>
        <w:rPr>
          <w:rFonts w:ascii="Times New Roman" w:hAnsi="Times New Roman"/>
          <w:sz w:val="24"/>
          <w:szCs w:val="24"/>
        </w:rPr>
        <w:t xml:space="preserve"> percent</w:t>
      </w:r>
      <w:r w:rsidR="00F67EDF">
        <w:rPr>
          <w:rFonts w:ascii="Times New Roman" w:hAnsi="Times New Roman"/>
          <w:sz w:val="24"/>
          <w:szCs w:val="24"/>
        </w:rPr>
        <w:t xml:space="preserve"> (Lewin, 2007). Of concern</w:t>
      </w:r>
      <w:r>
        <w:rPr>
          <w:rFonts w:ascii="Times New Roman" w:hAnsi="Times New Roman"/>
          <w:sz w:val="24"/>
          <w:szCs w:val="24"/>
        </w:rPr>
        <w:t>,</w:t>
      </w:r>
      <w:r w:rsidR="00F67EDF">
        <w:rPr>
          <w:rFonts w:ascii="Times New Roman" w:hAnsi="Times New Roman"/>
          <w:sz w:val="24"/>
          <w:szCs w:val="24"/>
        </w:rPr>
        <w:t xml:space="preserve"> however</w:t>
      </w:r>
      <w:r>
        <w:rPr>
          <w:rFonts w:ascii="Times New Roman" w:hAnsi="Times New Roman"/>
          <w:sz w:val="24"/>
          <w:szCs w:val="24"/>
        </w:rPr>
        <w:t>,</w:t>
      </w:r>
      <w:r w:rsidR="00F67EDF">
        <w:rPr>
          <w:rFonts w:ascii="Times New Roman" w:hAnsi="Times New Roman"/>
          <w:sz w:val="24"/>
          <w:szCs w:val="24"/>
        </w:rPr>
        <w:t xml:space="preserve"> is that increased access and participation of female students at the primary school level is not necessar</w:t>
      </w:r>
      <w:r>
        <w:rPr>
          <w:rFonts w:ascii="Times New Roman" w:hAnsi="Times New Roman"/>
          <w:sz w:val="24"/>
          <w:szCs w:val="24"/>
        </w:rPr>
        <w:t>il</w:t>
      </w:r>
      <w:r w:rsidR="00F67EDF">
        <w:rPr>
          <w:rFonts w:ascii="Times New Roman" w:hAnsi="Times New Roman"/>
          <w:sz w:val="24"/>
          <w:szCs w:val="24"/>
        </w:rPr>
        <w:t>y translating to higher enrolments at secondary and higher education levels.</w:t>
      </w:r>
      <w:r w:rsidR="00F67EDF" w:rsidRPr="00BB0679">
        <w:rPr>
          <w:rFonts w:ascii="Times New Roman" w:hAnsi="Times New Roman"/>
          <w:sz w:val="24"/>
          <w:szCs w:val="24"/>
        </w:rPr>
        <w:t xml:space="preserve"> </w:t>
      </w:r>
      <w:r w:rsidR="00F67EDF">
        <w:rPr>
          <w:rFonts w:ascii="Times New Roman" w:hAnsi="Times New Roman"/>
          <w:sz w:val="24"/>
          <w:szCs w:val="24"/>
        </w:rPr>
        <w:t xml:space="preserve">Overall, the transition rate from primary to secondary schools in Sub-Saharan Africa was 62 </w:t>
      </w:r>
      <w:r>
        <w:rPr>
          <w:rFonts w:ascii="Times New Roman" w:hAnsi="Times New Roman"/>
          <w:sz w:val="24"/>
          <w:szCs w:val="24"/>
        </w:rPr>
        <w:t>percent</w:t>
      </w:r>
      <w:r w:rsidR="00F67EDF">
        <w:rPr>
          <w:rFonts w:ascii="Times New Roman" w:hAnsi="Times New Roman"/>
          <w:sz w:val="24"/>
          <w:szCs w:val="24"/>
        </w:rPr>
        <w:t xml:space="preserve"> in 2006, while that of female students was 57</w:t>
      </w:r>
      <w:r w:rsidR="00FA50F6">
        <w:rPr>
          <w:rFonts w:ascii="Times New Roman" w:hAnsi="Times New Roman"/>
          <w:sz w:val="24"/>
          <w:szCs w:val="24"/>
        </w:rPr>
        <w:t xml:space="preserve"> percent</w:t>
      </w:r>
      <w:r w:rsidR="00F67EDF">
        <w:rPr>
          <w:rFonts w:ascii="Times New Roman" w:hAnsi="Times New Roman"/>
          <w:sz w:val="24"/>
          <w:szCs w:val="24"/>
        </w:rPr>
        <w:t xml:space="preserve"> (UNESCO 2009). Lewin (2007) shows that in most countries of the region, g</w:t>
      </w:r>
      <w:r w:rsidR="00F67EDF" w:rsidRPr="00BB0679">
        <w:rPr>
          <w:rFonts w:ascii="Times New Roman" w:hAnsi="Times New Roman"/>
          <w:sz w:val="24"/>
          <w:szCs w:val="24"/>
        </w:rPr>
        <w:t xml:space="preserve">ender equity measured by the Gender Parity Index (GPI) at primary and secondary </w:t>
      </w:r>
      <w:r w:rsidR="00FA52E0">
        <w:rPr>
          <w:rFonts w:ascii="Times New Roman" w:hAnsi="Times New Roman"/>
          <w:sz w:val="24"/>
          <w:szCs w:val="24"/>
        </w:rPr>
        <w:t xml:space="preserve">levels </w:t>
      </w:r>
      <w:r w:rsidR="00F67EDF" w:rsidRPr="00BB0679">
        <w:rPr>
          <w:rFonts w:ascii="Times New Roman" w:hAnsi="Times New Roman"/>
          <w:sz w:val="24"/>
          <w:szCs w:val="24"/>
        </w:rPr>
        <w:t>varies considerably. The GPI is more favorable to girls at primary than at secondary</w:t>
      </w:r>
      <w:r w:rsidR="00F67EDF">
        <w:rPr>
          <w:rFonts w:ascii="Times New Roman" w:hAnsi="Times New Roman"/>
          <w:sz w:val="24"/>
          <w:szCs w:val="24"/>
        </w:rPr>
        <w:t xml:space="preserve"> school</w:t>
      </w:r>
      <w:r w:rsidR="00F67EDF" w:rsidRPr="00BB0679">
        <w:rPr>
          <w:rFonts w:ascii="Times New Roman" w:hAnsi="Times New Roman"/>
          <w:sz w:val="24"/>
          <w:szCs w:val="24"/>
        </w:rPr>
        <w:t xml:space="preserve"> in </w:t>
      </w:r>
      <w:r w:rsidR="00F67EDF">
        <w:rPr>
          <w:rFonts w:ascii="Times New Roman" w:hAnsi="Times New Roman"/>
          <w:sz w:val="24"/>
          <w:szCs w:val="24"/>
        </w:rPr>
        <w:t xml:space="preserve">almost all the countries of the region except six (Lewin 2007). </w:t>
      </w:r>
    </w:p>
    <w:p w:rsidR="00F67EDF" w:rsidRDefault="00F67EDF" w:rsidP="00F67EDF">
      <w:pPr>
        <w:autoSpaceDE w:val="0"/>
        <w:autoSpaceDN w:val="0"/>
        <w:adjustRightInd w:val="0"/>
        <w:spacing w:after="0" w:line="360" w:lineRule="auto"/>
        <w:contextualSpacing/>
        <w:jc w:val="both"/>
        <w:rPr>
          <w:rFonts w:ascii="Times New Roman" w:hAnsi="Times New Roman"/>
          <w:sz w:val="24"/>
          <w:szCs w:val="24"/>
        </w:rPr>
      </w:pPr>
    </w:p>
    <w:p w:rsidR="00F67EDF" w:rsidRDefault="00F405AD" w:rsidP="00F67EDF">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Pr>
          <w:rFonts w:ascii="Times New Roman" w:hAnsi="Times New Roman"/>
          <w:sz w:val="24"/>
          <w:szCs w:val="24"/>
        </w:rPr>
        <w:t>Generally, most of the countries in Sub-Saharan Africa have female transition rates to secondary education level of less than 50</w:t>
      </w:r>
      <w:r w:rsidR="00FA50F6">
        <w:rPr>
          <w:rFonts w:ascii="Times New Roman" w:hAnsi="Times New Roman"/>
          <w:sz w:val="24"/>
          <w:szCs w:val="24"/>
        </w:rPr>
        <w:t xml:space="preserve"> percent</w:t>
      </w:r>
      <w:r w:rsidR="00F67EDF">
        <w:rPr>
          <w:rFonts w:ascii="Times New Roman" w:hAnsi="Times New Roman"/>
          <w:sz w:val="24"/>
          <w:szCs w:val="24"/>
        </w:rPr>
        <w:t xml:space="preserve">. </w:t>
      </w:r>
      <w:r w:rsidR="00FA52E0">
        <w:rPr>
          <w:rFonts w:ascii="Times New Roman" w:hAnsi="Times New Roman"/>
          <w:sz w:val="24"/>
          <w:szCs w:val="24"/>
        </w:rPr>
        <w:t>Exceptions include</w:t>
      </w:r>
      <w:r w:rsidR="00F67EDF">
        <w:rPr>
          <w:rFonts w:ascii="Times New Roman" w:hAnsi="Times New Roman"/>
          <w:sz w:val="24"/>
          <w:szCs w:val="24"/>
        </w:rPr>
        <w:t xml:space="preserve"> Kenya and Nigeria</w:t>
      </w:r>
      <w:r w:rsidR="00FA52E0">
        <w:rPr>
          <w:rFonts w:ascii="Times New Roman" w:hAnsi="Times New Roman"/>
          <w:sz w:val="24"/>
          <w:szCs w:val="24"/>
        </w:rPr>
        <w:t>, which</w:t>
      </w:r>
      <w:r w:rsidR="00F67EDF">
        <w:rPr>
          <w:rFonts w:ascii="Times New Roman" w:hAnsi="Times New Roman"/>
          <w:sz w:val="24"/>
          <w:szCs w:val="24"/>
        </w:rPr>
        <w:t xml:space="preserve"> record high female enro</w:t>
      </w:r>
      <w:r w:rsidR="00027ECC">
        <w:rPr>
          <w:rFonts w:ascii="Times New Roman" w:hAnsi="Times New Roman"/>
          <w:sz w:val="24"/>
          <w:szCs w:val="24"/>
        </w:rPr>
        <w:t>l</w:t>
      </w:r>
      <w:r w:rsidR="00F67EDF">
        <w:rPr>
          <w:rFonts w:ascii="Times New Roman" w:hAnsi="Times New Roman"/>
          <w:sz w:val="24"/>
          <w:szCs w:val="24"/>
        </w:rPr>
        <w:t>lment and participation rates in primary and lower secondary education, but high attrition rates in upper secondary education and transition to university. Available statistics show that by 2008, Kenya had achieved a transition rate from primary to secondary school of 58.5</w:t>
      </w:r>
      <w:r w:rsidR="00FA52E0">
        <w:rPr>
          <w:rFonts w:ascii="Times New Roman" w:hAnsi="Times New Roman"/>
          <w:sz w:val="24"/>
          <w:szCs w:val="24"/>
        </w:rPr>
        <w:t xml:space="preserve"> percent</w:t>
      </w:r>
      <w:r w:rsidR="00F67EDF">
        <w:rPr>
          <w:rFonts w:ascii="Times New Roman" w:hAnsi="Times New Roman"/>
          <w:sz w:val="24"/>
          <w:szCs w:val="24"/>
        </w:rPr>
        <w:t xml:space="preserve"> for males and 61.1</w:t>
      </w:r>
      <w:r w:rsidR="00FA52E0">
        <w:rPr>
          <w:rFonts w:ascii="Times New Roman" w:hAnsi="Times New Roman"/>
          <w:sz w:val="24"/>
          <w:szCs w:val="24"/>
        </w:rPr>
        <w:t xml:space="preserve"> percent</w:t>
      </w:r>
      <w:r w:rsidR="00F67EDF">
        <w:rPr>
          <w:rFonts w:ascii="Times New Roman" w:hAnsi="Times New Roman"/>
          <w:sz w:val="24"/>
          <w:szCs w:val="24"/>
        </w:rPr>
        <w:t xml:space="preserve"> for females (Kenya, Ministry of </w:t>
      </w:r>
      <w:r w:rsidR="00FA52E0">
        <w:rPr>
          <w:rFonts w:ascii="Times New Roman" w:hAnsi="Times New Roman"/>
          <w:sz w:val="24"/>
          <w:szCs w:val="24"/>
        </w:rPr>
        <w:t>E</w:t>
      </w:r>
      <w:r w:rsidR="00F67EDF">
        <w:rPr>
          <w:rFonts w:ascii="Times New Roman" w:hAnsi="Times New Roman"/>
          <w:sz w:val="24"/>
          <w:szCs w:val="24"/>
        </w:rPr>
        <w:t>ducation 2009). This indicates higher participation rates for females at the primary level. However, the GER for females at secondary level stood at 38.8</w:t>
      </w:r>
      <w:r w:rsidR="00FA52E0">
        <w:rPr>
          <w:rFonts w:ascii="Times New Roman" w:hAnsi="Times New Roman"/>
          <w:sz w:val="24"/>
          <w:szCs w:val="24"/>
        </w:rPr>
        <w:t xml:space="preserve"> percent</w:t>
      </w:r>
      <w:r w:rsidR="00F67EDF">
        <w:rPr>
          <w:rFonts w:ascii="Times New Roman" w:hAnsi="Times New Roman"/>
          <w:sz w:val="24"/>
          <w:szCs w:val="24"/>
        </w:rPr>
        <w:t xml:space="preserve"> compared to 46.3</w:t>
      </w:r>
      <w:r w:rsidR="00FA52E0">
        <w:rPr>
          <w:rFonts w:ascii="Times New Roman" w:hAnsi="Times New Roman"/>
          <w:sz w:val="24"/>
          <w:szCs w:val="24"/>
        </w:rPr>
        <w:t xml:space="preserve"> percent</w:t>
      </w:r>
      <w:r w:rsidR="00F67EDF">
        <w:rPr>
          <w:rFonts w:ascii="Times New Roman" w:hAnsi="Times New Roman"/>
          <w:sz w:val="24"/>
          <w:szCs w:val="24"/>
        </w:rPr>
        <w:t xml:space="preserve"> for males, while the NER was 27.9</w:t>
      </w:r>
      <w:r w:rsidR="00FA52E0">
        <w:rPr>
          <w:rFonts w:ascii="Times New Roman" w:hAnsi="Times New Roman"/>
          <w:sz w:val="24"/>
          <w:szCs w:val="24"/>
        </w:rPr>
        <w:t xml:space="preserve"> percent</w:t>
      </w:r>
      <w:r w:rsidR="00F67EDF">
        <w:rPr>
          <w:rFonts w:ascii="Times New Roman" w:hAnsi="Times New Roman"/>
          <w:sz w:val="24"/>
          <w:szCs w:val="24"/>
        </w:rPr>
        <w:t xml:space="preserve"> for females compared to 38.8</w:t>
      </w:r>
      <w:r w:rsidR="00FA52E0">
        <w:rPr>
          <w:rFonts w:ascii="Times New Roman" w:hAnsi="Times New Roman"/>
          <w:sz w:val="24"/>
          <w:szCs w:val="24"/>
        </w:rPr>
        <w:t xml:space="preserve"> percent</w:t>
      </w:r>
      <w:r w:rsidR="00F67EDF">
        <w:rPr>
          <w:rFonts w:ascii="Times New Roman" w:hAnsi="Times New Roman"/>
          <w:sz w:val="24"/>
          <w:szCs w:val="24"/>
        </w:rPr>
        <w:t xml:space="preserve"> for males within the same period (Kenya Ministry of Education 2009). These show the high rates of attrition for female students in secondary schooling and indicate an even lower transition rate to higher education. For Nigeria, UNESCO </w:t>
      </w:r>
      <w:r w:rsidR="00FA52E0">
        <w:rPr>
          <w:rFonts w:ascii="Times New Roman" w:hAnsi="Times New Roman"/>
          <w:sz w:val="24"/>
          <w:szCs w:val="24"/>
        </w:rPr>
        <w:t>s</w:t>
      </w:r>
      <w:r w:rsidR="00F67EDF">
        <w:rPr>
          <w:rFonts w:ascii="Times New Roman" w:hAnsi="Times New Roman"/>
          <w:sz w:val="24"/>
          <w:szCs w:val="24"/>
        </w:rPr>
        <w:t>tatistics indicate that the country had primary school completion rates of 81</w:t>
      </w:r>
      <w:r w:rsidR="00FA52E0">
        <w:rPr>
          <w:rFonts w:ascii="Times New Roman" w:hAnsi="Times New Roman"/>
          <w:sz w:val="24"/>
          <w:szCs w:val="24"/>
        </w:rPr>
        <w:t xml:space="preserve"> percent</w:t>
      </w:r>
      <w:r w:rsidR="00F67EDF">
        <w:rPr>
          <w:rFonts w:ascii="Times New Roman" w:hAnsi="Times New Roman"/>
          <w:sz w:val="24"/>
          <w:szCs w:val="24"/>
        </w:rPr>
        <w:t xml:space="preserve"> for males and 66</w:t>
      </w:r>
      <w:r w:rsidR="00FA52E0">
        <w:rPr>
          <w:rFonts w:ascii="Times New Roman" w:hAnsi="Times New Roman"/>
          <w:sz w:val="24"/>
          <w:szCs w:val="24"/>
        </w:rPr>
        <w:t xml:space="preserve"> percent</w:t>
      </w:r>
      <w:r w:rsidR="00F67EDF">
        <w:rPr>
          <w:rFonts w:ascii="Times New Roman" w:hAnsi="Times New Roman"/>
          <w:sz w:val="24"/>
          <w:szCs w:val="24"/>
        </w:rPr>
        <w:t xml:space="preserve"> for females by 2006 (UNESCO Statistics, 2006). However, GER for secondary schools stood at 38</w:t>
      </w:r>
      <w:r w:rsidR="00FA52E0">
        <w:rPr>
          <w:rFonts w:ascii="Times New Roman" w:hAnsi="Times New Roman"/>
          <w:sz w:val="24"/>
          <w:szCs w:val="24"/>
        </w:rPr>
        <w:t xml:space="preserve"> percent</w:t>
      </w:r>
      <w:r w:rsidR="00F67EDF">
        <w:rPr>
          <w:rFonts w:ascii="Times New Roman" w:hAnsi="Times New Roman"/>
          <w:sz w:val="24"/>
          <w:szCs w:val="24"/>
        </w:rPr>
        <w:t xml:space="preserve"> for males and 32</w:t>
      </w:r>
      <w:r w:rsidR="00FA52E0">
        <w:rPr>
          <w:rFonts w:ascii="Times New Roman" w:hAnsi="Times New Roman"/>
          <w:sz w:val="24"/>
          <w:szCs w:val="24"/>
        </w:rPr>
        <w:t xml:space="preserve"> percent</w:t>
      </w:r>
      <w:r w:rsidR="00F67EDF">
        <w:rPr>
          <w:rFonts w:ascii="Times New Roman" w:hAnsi="Times New Roman"/>
          <w:sz w:val="24"/>
          <w:szCs w:val="24"/>
        </w:rPr>
        <w:t xml:space="preserve"> for females within the same period (UNESCO, 2006). </w:t>
      </w:r>
    </w:p>
    <w:p w:rsidR="00F67EDF" w:rsidRDefault="00F67EDF" w:rsidP="00F67EDF">
      <w:pPr>
        <w:autoSpaceDE w:val="0"/>
        <w:autoSpaceDN w:val="0"/>
        <w:adjustRightInd w:val="0"/>
        <w:spacing w:after="0" w:line="360" w:lineRule="auto"/>
        <w:contextualSpacing/>
        <w:jc w:val="both"/>
        <w:rPr>
          <w:rFonts w:ascii="Times New Roman" w:hAnsi="Times New Roman"/>
          <w:sz w:val="24"/>
          <w:szCs w:val="24"/>
          <w:lang w:val="en-US"/>
        </w:rPr>
      </w:pPr>
    </w:p>
    <w:p w:rsidR="00F67EDF" w:rsidRPr="00262DAF" w:rsidRDefault="00F405AD" w:rsidP="00F67EDF">
      <w:pPr>
        <w:autoSpaceDE w:val="0"/>
        <w:autoSpaceDN w:val="0"/>
        <w:adjustRightInd w:val="0"/>
        <w:spacing w:after="0" w:line="360" w:lineRule="auto"/>
        <w:contextualSpacing/>
        <w:jc w:val="both"/>
        <w:rPr>
          <w:rFonts w:ascii="Times New Roman" w:hAnsi="Times New Roman"/>
          <w:sz w:val="24"/>
          <w:szCs w:val="24"/>
          <w:lang w:val="en-US"/>
        </w:rPr>
      </w:pPr>
      <w:r>
        <w:rPr>
          <w:rFonts w:ascii="Times New Roman" w:hAnsi="Times New Roman"/>
          <w:sz w:val="24"/>
          <w:szCs w:val="24"/>
          <w:lang w:val="en-US"/>
        </w:rPr>
        <w:t xml:space="preserve">      </w:t>
      </w:r>
      <w:r w:rsidR="00FA52E0">
        <w:rPr>
          <w:rFonts w:ascii="Times New Roman" w:hAnsi="Times New Roman"/>
          <w:sz w:val="24"/>
          <w:szCs w:val="24"/>
          <w:lang w:val="en-US"/>
        </w:rPr>
        <w:t>In addition, th</w:t>
      </w:r>
      <w:r w:rsidR="00F67EDF">
        <w:rPr>
          <w:rFonts w:ascii="Times New Roman" w:hAnsi="Times New Roman"/>
          <w:sz w:val="24"/>
          <w:szCs w:val="24"/>
          <w:lang w:val="en-US"/>
        </w:rPr>
        <w:t>e transition</w:t>
      </w:r>
      <w:r w:rsidR="00FA52E0">
        <w:rPr>
          <w:rFonts w:ascii="Times New Roman" w:hAnsi="Times New Roman"/>
          <w:sz w:val="24"/>
          <w:szCs w:val="24"/>
          <w:lang w:val="en-US"/>
        </w:rPr>
        <w:t xml:space="preserve"> rate</w:t>
      </w:r>
      <w:r w:rsidR="00F67EDF">
        <w:rPr>
          <w:rFonts w:ascii="Times New Roman" w:hAnsi="Times New Roman"/>
          <w:sz w:val="24"/>
          <w:szCs w:val="24"/>
          <w:lang w:val="en-US"/>
        </w:rPr>
        <w:t xml:space="preserve"> of female students from secondary to university</w:t>
      </w:r>
      <w:r w:rsidR="00FA52E0">
        <w:rPr>
          <w:rFonts w:ascii="Times New Roman" w:hAnsi="Times New Roman"/>
          <w:sz w:val="24"/>
          <w:szCs w:val="24"/>
          <w:lang w:val="en-US"/>
        </w:rPr>
        <w:t>-</w:t>
      </w:r>
      <w:r w:rsidR="00F67EDF">
        <w:rPr>
          <w:rFonts w:ascii="Times New Roman" w:hAnsi="Times New Roman"/>
          <w:sz w:val="24"/>
          <w:szCs w:val="24"/>
          <w:lang w:val="en-US"/>
        </w:rPr>
        <w:t xml:space="preserve"> level education is much lower than the transition rates from primary to secondary schools in much of Sub-Saharan Africa.</w:t>
      </w:r>
      <w:r w:rsidR="00F67EDF" w:rsidRPr="00262DAF">
        <w:rPr>
          <w:rFonts w:ascii="Times New Roman" w:hAnsi="Times New Roman"/>
          <w:sz w:val="24"/>
          <w:szCs w:val="24"/>
          <w:lang w:val="en-US"/>
        </w:rPr>
        <w:t xml:space="preserve"> In Kenya, for</w:t>
      </w:r>
      <w:r w:rsidR="00F67EDF">
        <w:rPr>
          <w:rFonts w:ascii="Times New Roman" w:hAnsi="Times New Roman"/>
          <w:sz w:val="24"/>
          <w:szCs w:val="24"/>
          <w:lang w:val="en-US"/>
        </w:rPr>
        <w:t xml:space="preserve"> example, in 2005, female enro</w:t>
      </w:r>
      <w:r w:rsidR="00027ECC">
        <w:rPr>
          <w:rFonts w:ascii="Times New Roman" w:hAnsi="Times New Roman"/>
          <w:sz w:val="24"/>
          <w:szCs w:val="24"/>
          <w:lang w:val="en-US"/>
        </w:rPr>
        <w:t>l</w:t>
      </w:r>
      <w:r w:rsidR="00F67EDF">
        <w:rPr>
          <w:rFonts w:ascii="Times New Roman" w:hAnsi="Times New Roman"/>
          <w:sz w:val="24"/>
          <w:szCs w:val="24"/>
          <w:lang w:val="en-US"/>
        </w:rPr>
        <w:t>l</w:t>
      </w:r>
      <w:r w:rsidR="00F67EDF" w:rsidRPr="00262DAF">
        <w:rPr>
          <w:rFonts w:ascii="Times New Roman" w:hAnsi="Times New Roman"/>
          <w:sz w:val="24"/>
          <w:szCs w:val="24"/>
          <w:lang w:val="en-US"/>
        </w:rPr>
        <w:t>ment in public universities stood at</w:t>
      </w:r>
      <w:r w:rsidR="00F67EDF">
        <w:rPr>
          <w:rFonts w:ascii="Times New Roman" w:hAnsi="Times New Roman"/>
          <w:sz w:val="24"/>
          <w:szCs w:val="24"/>
          <w:lang w:val="en-US"/>
        </w:rPr>
        <w:t xml:space="preserve"> </w:t>
      </w:r>
      <w:r w:rsidR="00F67EDF" w:rsidRPr="00262DAF">
        <w:rPr>
          <w:rFonts w:ascii="Times New Roman" w:hAnsi="Times New Roman"/>
          <w:sz w:val="24"/>
          <w:szCs w:val="24"/>
          <w:lang w:val="en-US"/>
        </w:rPr>
        <w:t xml:space="preserve">an average of 35.3 percent of total enrollment compared to about 46 percent </w:t>
      </w:r>
      <w:r w:rsidR="00027ECC">
        <w:rPr>
          <w:rFonts w:ascii="Times New Roman" w:hAnsi="Times New Roman"/>
          <w:sz w:val="24"/>
          <w:szCs w:val="24"/>
          <w:lang w:val="en-US"/>
        </w:rPr>
        <w:t>at the</w:t>
      </w:r>
      <w:r w:rsidR="00F67EDF" w:rsidRPr="00262DAF">
        <w:rPr>
          <w:rFonts w:ascii="Times New Roman" w:hAnsi="Times New Roman"/>
          <w:sz w:val="24"/>
          <w:szCs w:val="24"/>
          <w:lang w:val="en-US"/>
        </w:rPr>
        <w:t xml:space="preserve"> secondary school</w:t>
      </w:r>
      <w:r w:rsidR="00F67EDF">
        <w:rPr>
          <w:rFonts w:ascii="Times New Roman" w:hAnsi="Times New Roman"/>
          <w:sz w:val="24"/>
          <w:szCs w:val="24"/>
          <w:lang w:val="en-US"/>
        </w:rPr>
        <w:t xml:space="preserve"> </w:t>
      </w:r>
      <w:r w:rsidR="00F67EDF" w:rsidRPr="00262DAF">
        <w:rPr>
          <w:rFonts w:ascii="Times New Roman" w:hAnsi="Times New Roman"/>
          <w:sz w:val="24"/>
          <w:szCs w:val="24"/>
          <w:lang w:val="en-US"/>
        </w:rPr>
        <w:t>le</w:t>
      </w:r>
      <w:r w:rsidR="00027ECC">
        <w:rPr>
          <w:rFonts w:ascii="Times New Roman" w:hAnsi="Times New Roman"/>
          <w:sz w:val="24"/>
          <w:szCs w:val="24"/>
          <w:lang w:val="en-US"/>
        </w:rPr>
        <w:t>vel</w:t>
      </w:r>
      <w:r w:rsidR="00F67EDF" w:rsidRPr="00262DAF">
        <w:rPr>
          <w:rFonts w:ascii="Times New Roman" w:hAnsi="Times New Roman"/>
          <w:sz w:val="24"/>
          <w:szCs w:val="24"/>
          <w:lang w:val="en-US"/>
        </w:rPr>
        <w:t xml:space="preserve"> in 2005 (Republic of Keny</w:t>
      </w:r>
      <w:r w:rsidR="00F67EDF">
        <w:rPr>
          <w:rFonts w:ascii="Times New Roman" w:hAnsi="Times New Roman"/>
          <w:sz w:val="24"/>
          <w:szCs w:val="24"/>
          <w:lang w:val="en-US"/>
        </w:rPr>
        <w:t>a, 2006</w:t>
      </w:r>
      <w:r w:rsidR="00F67EDF" w:rsidRPr="00262DAF">
        <w:rPr>
          <w:rFonts w:ascii="Times New Roman" w:hAnsi="Times New Roman"/>
          <w:sz w:val="24"/>
          <w:szCs w:val="24"/>
          <w:lang w:val="en-US"/>
        </w:rPr>
        <w:t>)</w:t>
      </w:r>
      <w:r w:rsidR="00F67EDF">
        <w:rPr>
          <w:rFonts w:ascii="Times New Roman" w:hAnsi="Times New Roman"/>
          <w:sz w:val="24"/>
          <w:szCs w:val="24"/>
          <w:lang w:val="en-US"/>
        </w:rPr>
        <w:t>. Female students</w:t>
      </w:r>
      <w:r w:rsidR="00F67EDF" w:rsidRPr="00262DAF">
        <w:rPr>
          <w:rFonts w:ascii="Times New Roman" w:hAnsi="Times New Roman"/>
          <w:sz w:val="24"/>
          <w:szCs w:val="24"/>
          <w:lang w:val="en-US"/>
        </w:rPr>
        <w:t xml:space="preserve"> constituted an average</w:t>
      </w:r>
      <w:r w:rsidR="00F67EDF">
        <w:rPr>
          <w:rFonts w:ascii="Times New Roman" w:hAnsi="Times New Roman"/>
          <w:sz w:val="24"/>
          <w:szCs w:val="24"/>
          <w:lang w:val="en-US"/>
        </w:rPr>
        <w:t xml:space="preserve"> of 32.9 percent of total enro</w:t>
      </w:r>
      <w:r w:rsidR="00B1203C">
        <w:rPr>
          <w:rFonts w:ascii="Times New Roman" w:hAnsi="Times New Roman"/>
          <w:sz w:val="24"/>
          <w:szCs w:val="24"/>
          <w:lang w:val="en-US"/>
        </w:rPr>
        <w:t>l</w:t>
      </w:r>
      <w:r w:rsidR="00F67EDF">
        <w:rPr>
          <w:rFonts w:ascii="Times New Roman" w:hAnsi="Times New Roman"/>
          <w:sz w:val="24"/>
          <w:szCs w:val="24"/>
          <w:lang w:val="en-US"/>
        </w:rPr>
        <w:t>l</w:t>
      </w:r>
      <w:r w:rsidR="00F67EDF" w:rsidRPr="00262DAF">
        <w:rPr>
          <w:rFonts w:ascii="Times New Roman" w:hAnsi="Times New Roman"/>
          <w:sz w:val="24"/>
          <w:szCs w:val="24"/>
          <w:lang w:val="en-US"/>
        </w:rPr>
        <w:t>ment in the</w:t>
      </w:r>
      <w:r w:rsidR="00F67EDF">
        <w:rPr>
          <w:rFonts w:ascii="Times New Roman" w:hAnsi="Times New Roman"/>
          <w:sz w:val="24"/>
          <w:szCs w:val="24"/>
          <w:lang w:val="en-US"/>
        </w:rPr>
        <w:t xml:space="preserve"> </w:t>
      </w:r>
      <w:r w:rsidR="00F67EDF" w:rsidRPr="00262DAF">
        <w:rPr>
          <w:rFonts w:ascii="Times New Roman" w:hAnsi="Times New Roman"/>
          <w:sz w:val="24"/>
          <w:szCs w:val="24"/>
          <w:lang w:val="en-US"/>
        </w:rPr>
        <w:t>seven universities</w:t>
      </w:r>
      <w:r w:rsidR="00B1203C">
        <w:rPr>
          <w:rFonts w:ascii="Times New Roman" w:hAnsi="Times New Roman"/>
          <w:sz w:val="24"/>
          <w:szCs w:val="24"/>
          <w:lang w:val="en-US"/>
        </w:rPr>
        <w:t xml:space="preserve"> studied </w:t>
      </w:r>
      <w:r w:rsidR="00F67EDF" w:rsidRPr="00262DAF">
        <w:rPr>
          <w:rFonts w:ascii="Times New Roman" w:hAnsi="Times New Roman"/>
          <w:sz w:val="24"/>
          <w:szCs w:val="24"/>
          <w:lang w:val="en-US"/>
        </w:rPr>
        <w:t>in the Pathways research project</w:t>
      </w:r>
      <w:r w:rsidR="00F67EDF">
        <w:rPr>
          <w:rFonts w:ascii="Times New Roman" w:hAnsi="Times New Roman"/>
          <w:sz w:val="24"/>
          <w:szCs w:val="24"/>
          <w:lang w:val="en-US"/>
        </w:rPr>
        <w:t xml:space="preserve"> in East Africa (Griffin, 2007)</w:t>
      </w:r>
      <w:r w:rsidR="00F67EDF" w:rsidRPr="00262DAF">
        <w:rPr>
          <w:rFonts w:ascii="Times New Roman" w:hAnsi="Times New Roman"/>
          <w:sz w:val="24"/>
          <w:szCs w:val="24"/>
          <w:lang w:val="en-US"/>
        </w:rPr>
        <w:t>. In Nigeria,</w:t>
      </w:r>
      <w:r w:rsidR="00F67EDF">
        <w:rPr>
          <w:rFonts w:ascii="Times New Roman" w:hAnsi="Times New Roman"/>
          <w:sz w:val="24"/>
          <w:szCs w:val="24"/>
          <w:lang w:val="en-US"/>
        </w:rPr>
        <w:t xml:space="preserve"> female students</w:t>
      </w:r>
      <w:r w:rsidR="00F67EDF" w:rsidRPr="00262DAF">
        <w:rPr>
          <w:rFonts w:ascii="Times New Roman" w:hAnsi="Times New Roman"/>
          <w:sz w:val="24"/>
          <w:szCs w:val="24"/>
          <w:lang w:val="en-US"/>
        </w:rPr>
        <w:t xml:space="preserve"> comprised 31.</w:t>
      </w:r>
      <w:r w:rsidR="00F67EDF">
        <w:rPr>
          <w:rFonts w:ascii="Times New Roman" w:hAnsi="Times New Roman"/>
          <w:sz w:val="24"/>
          <w:szCs w:val="24"/>
          <w:lang w:val="en-US"/>
        </w:rPr>
        <w:t>2 percent of the students enroll</w:t>
      </w:r>
      <w:r w:rsidR="00F67EDF" w:rsidRPr="00262DAF">
        <w:rPr>
          <w:rFonts w:ascii="Times New Roman" w:hAnsi="Times New Roman"/>
          <w:sz w:val="24"/>
          <w:szCs w:val="24"/>
          <w:lang w:val="en-US"/>
        </w:rPr>
        <w:t>ed in 23 federal universities (Pereira, 2007) and in</w:t>
      </w:r>
      <w:r w:rsidR="00F67EDF">
        <w:rPr>
          <w:rFonts w:ascii="Times New Roman" w:hAnsi="Times New Roman"/>
          <w:sz w:val="24"/>
          <w:szCs w:val="24"/>
          <w:lang w:val="en-US"/>
        </w:rPr>
        <w:t xml:space="preserve"> </w:t>
      </w:r>
      <w:r w:rsidR="00F67EDF" w:rsidRPr="00262DAF">
        <w:rPr>
          <w:rFonts w:ascii="Times New Roman" w:hAnsi="Times New Roman"/>
          <w:sz w:val="24"/>
          <w:szCs w:val="24"/>
          <w:lang w:val="en-US"/>
        </w:rPr>
        <w:t xml:space="preserve">Rwanda, </w:t>
      </w:r>
      <w:r w:rsidR="00FC04C8">
        <w:rPr>
          <w:rFonts w:ascii="Times New Roman" w:hAnsi="Times New Roman"/>
          <w:sz w:val="24"/>
          <w:szCs w:val="24"/>
          <w:lang w:val="en-US"/>
        </w:rPr>
        <w:t xml:space="preserve"> from </w:t>
      </w:r>
      <w:r w:rsidR="00F67EDF" w:rsidRPr="00262DAF">
        <w:rPr>
          <w:rFonts w:ascii="Times New Roman" w:hAnsi="Times New Roman"/>
          <w:sz w:val="24"/>
          <w:szCs w:val="24"/>
          <w:lang w:val="en-US"/>
        </w:rPr>
        <w:t>2001</w:t>
      </w:r>
      <w:r w:rsidR="00FC04C8">
        <w:rPr>
          <w:rFonts w:ascii="Times New Roman" w:hAnsi="Times New Roman"/>
          <w:sz w:val="24"/>
          <w:szCs w:val="24"/>
          <w:lang w:val="en-US"/>
        </w:rPr>
        <w:t xml:space="preserve"> to</w:t>
      </w:r>
      <w:r w:rsidR="00F67EDF" w:rsidRPr="00262DAF">
        <w:rPr>
          <w:rFonts w:ascii="Times New Roman" w:hAnsi="Times New Roman"/>
          <w:sz w:val="24"/>
          <w:szCs w:val="24"/>
          <w:lang w:val="en-US"/>
        </w:rPr>
        <w:t xml:space="preserve"> </w:t>
      </w:r>
      <w:r w:rsidR="00F67EDF">
        <w:rPr>
          <w:rFonts w:ascii="Times New Roman" w:hAnsi="Times New Roman"/>
          <w:sz w:val="24"/>
          <w:szCs w:val="24"/>
          <w:lang w:val="en-US"/>
        </w:rPr>
        <w:t>2005</w:t>
      </w:r>
      <w:r w:rsidR="00FC04C8">
        <w:rPr>
          <w:rFonts w:ascii="Times New Roman" w:hAnsi="Times New Roman"/>
          <w:sz w:val="24"/>
          <w:szCs w:val="24"/>
          <w:lang w:val="en-US"/>
        </w:rPr>
        <w:t>,</w:t>
      </w:r>
      <w:r w:rsidR="00F67EDF">
        <w:rPr>
          <w:rFonts w:ascii="Times New Roman" w:hAnsi="Times New Roman"/>
          <w:sz w:val="24"/>
          <w:szCs w:val="24"/>
          <w:lang w:val="en-US"/>
        </w:rPr>
        <w:t xml:space="preserve"> they</w:t>
      </w:r>
      <w:r w:rsidR="00F67EDF" w:rsidRPr="00262DAF">
        <w:rPr>
          <w:rFonts w:ascii="Times New Roman" w:hAnsi="Times New Roman"/>
          <w:sz w:val="24"/>
          <w:szCs w:val="24"/>
          <w:lang w:val="en-US"/>
        </w:rPr>
        <w:t xml:space="preserve"> constituted an average of only 26.8 percent of students</w:t>
      </w:r>
      <w:r w:rsidR="00F67EDF">
        <w:rPr>
          <w:rFonts w:ascii="Times New Roman" w:hAnsi="Times New Roman"/>
          <w:sz w:val="24"/>
          <w:szCs w:val="24"/>
          <w:lang w:val="en-US"/>
        </w:rPr>
        <w:t xml:space="preserve"> enroll</w:t>
      </w:r>
      <w:r w:rsidR="00F67EDF" w:rsidRPr="00262DAF">
        <w:rPr>
          <w:rFonts w:ascii="Times New Roman" w:hAnsi="Times New Roman"/>
          <w:sz w:val="24"/>
          <w:szCs w:val="24"/>
          <w:lang w:val="en-US"/>
        </w:rPr>
        <w:t>ed in public universities (Huggins and Randel</w:t>
      </w:r>
      <w:r w:rsidR="00F67EDF">
        <w:rPr>
          <w:rFonts w:ascii="Times New Roman" w:hAnsi="Times New Roman"/>
          <w:sz w:val="24"/>
          <w:szCs w:val="24"/>
          <w:lang w:val="en-US"/>
        </w:rPr>
        <w:t>l</w:t>
      </w:r>
      <w:r w:rsidR="00FC04C8">
        <w:rPr>
          <w:rFonts w:ascii="Times New Roman" w:hAnsi="Times New Roman"/>
          <w:sz w:val="24"/>
          <w:szCs w:val="24"/>
          <w:lang w:val="en-US"/>
        </w:rPr>
        <w:t>,</w:t>
      </w:r>
      <w:r w:rsidR="00F67EDF" w:rsidRPr="00262DAF">
        <w:rPr>
          <w:rFonts w:ascii="Times New Roman" w:hAnsi="Times New Roman"/>
          <w:sz w:val="24"/>
          <w:szCs w:val="24"/>
          <w:lang w:val="en-US"/>
        </w:rPr>
        <w:t xml:space="preserve"> 2007).</w:t>
      </w:r>
      <w:r w:rsidR="00F67EDF">
        <w:rPr>
          <w:rFonts w:ascii="Times New Roman" w:hAnsi="Times New Roman"/>
          <w:sz w:val="24"/>
          <w:szCs w:val="24"/>
          <w:lang w:val="en-US"/>
        </w:rPr>
        <w:t xml:space="preserve"> Data for the overall tertiary education sector for Kenya and Nigeria show that  </w:t>
      </w:r>
      <w:r w:rsidR="00F67EDF">
        <w:rPr>
          <w:rFonts w:ascii="Times New Roman" w:hAnsi="Times New Roman"/>
          <w:sz w:val="24"/>
          <w:szCs w:val="24"/>
        </w:rPr>
        <w:t>Kenya had a gross female enro</w:t>
      </w:r>
      <w:r w:rsidR="00FC04C8">
        <w:rPr>
          <w:rFonts w:ascii="Times New Roman" w:hAnsi="Times New Roman"/>
          <w:sz w:val="24"/>
          <w:szCs w:val="24"/>
        </w:rPr>
        <w:t>l</w:t>
      </w:r>
      <w:r w:rsidR="00F67EDF">
        <w:rPr>
          <w:rFonts w:ascii="Times New Roman" w:hAnsi="Times New Roman"/>
          <w:sz w:val="24"/>
          <w:szCs w:val="24"/>
        </w:rPr>
        <w:t>lment of 38</w:t>
      </w:r>
      <w:r w:rsidR="00FC04C8">
        <w:rPr>
          <w:rFonts w:ascii="Times New Roman" w:hAnsi="Times New Roman"/>
          <w:sz w:val="24"/>
          <w:szCs w:val="24"/>
        </w:rPr>
        <w:t xml:space="preserve"> percent</w:t>
      </w:r>
      <w:r w:rsidR="00F67EDF">
        <w:rPr>
          <w:rFonts w:ascii="Times New Roman" w:hAnsi="Times New Roman"/>
          <w:sz w:val="24"/>
          <w:szCs w:val="24"/>
        </w:rPr>
        <w:t xml:space="preserve"> and Nigeria 41</w:t>
      </w:r>
      <w:r w:rsidR="00FC04C8">
        <w:rPr>
          <w:rFonts w:ascii="Times New Roman" w:hAnsi="Times New Roman"/>
          <w:sz w:val="24"/>
          <w:szCs w:val="24"/>
        </w:rPr>
        <w:t xml:space="preserve"> percent</w:t>
      </w:r>
      <w:r w:rsidR="00F67EDF">
        <w:rPr>
          <w:rFonts w:ascii="Times New Roman" w:hAnsi="Times New Roman"/>
          <w:sz w:val="24"/>
          <w:szCs w:val="24"/>
        </w:rPr>
        <w:t xml:space="preserve"> by 2006 (UNESCO, 2006). Hence, female enro</w:t>
      </w:r>
      <w:r w:rsidR="00FC04C8">
        <w:rPr>
          <w:rFonts w:ascii="Times New Roman" w:hAnsi="Times New Roman"/>
          <w:sz w:val="24"/>
          <w:szCs w:val="24"/>
        </w:rPr>
        <w:t>l</w:t>
      </w:r>
      <w:r w:rsidR="00F67EDF">
        <w:rPr>
          <w:rFonts w:ascii="Times New Roman" w:hAnsi="Times New Roman"/>
          <w:sz w:val="24"/>
          <w:szCs w:val="24"/>
        </w:rPr>
        <w:t>lments in the public university sector for Kenya and Nigeria were much lower compared with the overall data for the tertiary sector as a whole.</w:t>
      </w:r>
    </w:p>
    <w:p w:rsidR="00F67EDF" w:rsidRDefault="00F67EDF" w:rsidP="00F67EDF">
      <w:pPr>
        <w:autoSpaceDE w:val="0"/>
        <w:autoSpaceDN w:val="0"/>
        <w:adjustRightInd w:val="0"/>
        <w:spacing w:after="0" w:line="360" w:lineRule="auto"/>
        <w:contextualSpacing/>
        <w:jc w:val="both"/>
        <w:rPr>
          <w:rFonts w:ascii="Times New Roman" w:hAnsi="Times New Roman"/>
          <w:sz w:val="24"/>
          <w:szCs w:val="24"/>
        </w:rPr>
      </w:pPr>
    </w:p>
    <w:p w:rsidR="00F67EDF" w:rsidRPr="00EC7443" w:rsidRDefault="00F405AD" w:rsidP="00F67EDF">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Pr>
          <w:rFonts w:ascii="Times New Roman" w:hAnsi="Times New Roman"/>
          <w:sz w:val="24"/>
          <w:szCs w:val="24"/>
        </w:rPr>
        <w:t>The trends observed in most Sub-Saharan African countries require that interventions</w:t>
      </w:r>
      <w:r w:rsidR="00F67EDF" w:rsidRPr="00EC7443">
        <w:rPr>
          <w:rFonts w:ascii="Times New Roman" w:hAnsi="Times New Roman"/>
          <w:sz w:val="24"/>
          <w:szCs w:val="24"/>
        </w:rPr>
        <w:t xml:space="preserve"> to expand access </w:t>
      </w:r>
      <w:r w:rsidR="00F67EDF">
        <w:rPr>
          <w:rFonts w:ascii="Times New Roman" w:hAnsi="Times New Roman"/>
          <w:sz w:val="24"/>
          <w:szCs w:val="24"/>
        </w:rPr>
        <w:t xml:space="preserve">of female students to higher education should address factors that contribute to higher rates of female attrition in secondary schools. </w:t>
      </w:r>
      <w:r w:rsidR="00FC04C8">
        <w:rPr>
          <w:rFonts w:ascii="Times New Roman" w:hAnsi="Times New Roman"/>
          <w:sz w:val="24"/>
          <w:szCs w:val="24"/>
        </w:rPr>
        <w:t xml:space="preserve">Indeed, </w:t>
      </w:r>
      <w:r w:rsidR="00F67EDF">
        <w:rPr>
          <w:rFonts w:ascii="Times New Roman" w:hAnsi="Times New Roman"/>
          <w:sz w:val="24"/>
          <w:szCs w:val="24"/>
        </w:rPr>
        <w:t xml:space="preserve">attrition rates </w:t>
      </w:r>
      <w:r w:rsidR="00F67EDF" w:rsidRPr="00EC7443">
        <w:rPr>
          <w:rFonts w:ascii="Times New Roman" w:hAnsi="Times New Roman"/>
          <w:sz w:val="24"/>
          <w:szCs w:val="24"/>
        </w:rPr>
        <w:t xml:space="preserve">remain a critical problem despite increasing gross enrolment rates. In </w:t>
      </w:r>
      <w:r w:rsidR="00FC04C8">
        <w:rPr>
          <w:rFonts w:ascii="Times New Roman" w:hAnsi="Times New Roman"/>
          <w:sz w:val="24"/>
          <w:szCs w:val="24"/>
        </w:rPr>
        <w:t>addition</w:t>
      </w:r>
      <w:r w:rsidR="00F67EDF" w:rsidRPr="00EC7443">
        <w:rPr>
          <w:rFonts w:ascii="Times New Roman" w:hAnsi="Times New Roman"/>
          <w:sz w:val="24"/>
          <w:szCs w:val="24"/>
        </w:rPr>
        <w:t>, primary/secondary transition is a striking proble</w:t>
      </w:r>
      <w:r w:rsidR="00F67EDF">
        <w:rPr>
          <w:rFonts w:ascii="Times New Roman" w:hAnsi="Times New Roman"/>
          <w:sz w:val="24"/>
          <w:szCs w:val="24"/>
        </w:rPr>
        <w:t>m. In the case of Kenya and Nigeria, data show that trends towards exclusion of female students from accessing higher education or channelling them to gendered disciplines in higher education begins at the upper secondary level. It is here that the majority of students either drop out or underperform due to socio-economic factors.</w:t>
      </w:r>
    </w:p>
    <w:p w:rsidR="00F67EDF" w:rsidRDefault="00F67EDF" w:rsidP="00F67EDF">
      <w:pPr>
        <w:spacing w:line="360" w:lineRule="auto"/>
        <w:contextualSpacing/>
        <w:jc w:val="both"/>
        <w:rPr>
          <w:rFonts w:ascii="Times New Roman" w:hAnsi="Times New Roman"/>
          <w:sz w:val="24"/>
          <w:szCs w:val="24"/>
        </w:rPr>
      </w:pPr>
    </w:p>
    <w:p w:rsidR="00F67EDF" w:rsidRPr="000868F1"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sidRPr="000868F1">
        <w:rPr>
          <w:rFonts w:ascii="Times New Roman" w:hAnsi="Times New Roman"/>
          <w:sz w:val="24"/>
          <w:szCs w:val="24"/>
        </w:rPr>
        <w:t xml:space="preserve"> Comparative studies and data have documented gendered patterns of access and participation by female students in basic education in Sub-Saharan Africa. However, comparative data on transition and participation in higher education is not as comprehensive. A study by Morley</w:t>
      </w:r>
      <w:r w:rsidR="00F67EDF">
        <w:rPr>
          <w:rFonts w:ascii="Times New Roman" w:hAnsi="Times New Roman"/>
          <w:sz w:val="24"/>
          <w:szCs w:val="24"/>
        </w:rPr>
        <w:t>, et al</w:t>
      </w:r>
      <w:r w:rsidR="00F67EDF" w:rsidRPr="000868F1">
        <w:rPr>
          <w:rFonts w:ascii="Times New Roman" w:hAnsi="Times New Roman"/>
          <w:sz w:val="24"/>
          <w:szCs w:val="24"/>
        </w:rPr>
        <w:t xml:space="preserve"> (2006) on gender equity in selected c</w:t>
      </w:r>
      <w:r w:rsidR="00F67EDF">
        <w:rPr>
          <w:rFonts w:ascii="Times New Roman" w:hAnsi="Times New Roman"/>
          <w:sz w:val="24"/>
          <w:szCs w:val="24"/>
        </w:rPr>
        <w:t>ommonwealth universities</w:t>
      </w:r>
      <w:r w:rsidR="00F67EDF" w:rsidRPr="000868F1">
        <w:rPr>
          <w:rFonts w:ascii="Times New Roman" w:hAnsi="Times New Roman"/>
          <w:sz w:val="24"/>
          <w:szCs w:val="24"/>
        </w:rPr>
        <w:t xml:space="preserve"> shows that</w:t>
      </w:r>
      <w:r w:rsidR="00F67EDF">
        <w:rPr>
          <w:rFonts w:ascii="Times New Roman" w:hAnsi="Times New Roman"/>
          <w:sz w:val="24"/>
          <w:szCs w:val="24"/>
        </w:rPr>
        <w:t xml:space="preserve"> the culture of higher education institutions deepens gender inequities</w:t>
      </w:r>
      <w:r w:rsidR="00F67EDF" w:rsidRPr="000868F1">
        <w:rPr>
          <w:rFonts w:ascii="Times New Roman" w:hAnsi="Times New Roman"/>
          <w:sz w:val="24"/>
          <w:szCs w:val="24"/>
        </w:rPr>
        <w:t xml:space="preserve">. </w:t>
      </w:r>
      <w:r w:rsidR="00F67EDF">
        <w:rPr>
          <w:rFonts w:ascii="Times New Roman" w:hAnsi="Times New Roman"/>
          <w:sz w:val="24"/>
          <w:szCs w:val="24"/>
        </w:rPr>
        <w:t xml:space="preserve">The study documents four </w:t>
      </w:r>
      <w:r w:rsidR="00F67EDF">
        <w:rPr>
          <w:rFonts w:ascii="Times New Roman" w:hAnsi="Times New Roman"/>
          <w:sz w:val="24"/>
          <w:szCs w:val="24"/>
        </w:rPr>
        <w:lastRenderedPageBreak/>
        <w:t>themes that have dominated literature within the commonwealth on this matter. These are 1)</w:t>
      </w:r>
      <w:r w:rsidR="00F67EDF" w:rsidRPr="008F3DBA">
        <w:rPr>
          <w:rFonts w:ascii="Times New Roman" w:hAnsi="Times New Roman"/>
          <w:sz w:val="24"/>
          <w:szCs w:val="24"/>
        </w:rPr>
        <w:t xml:space="preserve"> </w:t>
      </w:r>
      <w:r w:rsidR="00F67EDF">
        <w:rPr>
          <w:rFonts w:ascii="Times New Roman" w:hAnsi="Times New Roman"/>
          <w:sz w:val="24"/>
          <w:szCs w:val="24"/>
        </w:rPr>
        <w:t>descriptive accounts of the underrepresentation of women in higher education, where recent literature has examined the access and participation patterns of female students in Science and Technology programmes in higher education institutions</w:t>
      </w:r>
      <w:r w:rsidR="00FC04C8">
        <w:rPr>
          <w:rFonts w:ascii="Times New Roman" w:hAnsi="Times New Roman"/>
          <w:sz w:val="24"/>
          <w:szCs w:val="24"/>
        </w:rPr>
        <w:t>;</w:t>
      </w:r>
      <w:r w:rsidR="00F67EDF">
        <w:rPr>
          <w:rFonts w:ascii="Times New Roman" w:hAnsi="Times New Roman"/>
          <w:sz w:val="24"/>
          <w:szCs w:val="24"/>
        </w:rPr>
        <w:t xml:space="preserve"> (2)</w:t>
      </w:r>
      <w:r w:rsidR="00F67EDF" w:rsidRPr="000868F1">
        <w:rPr>
          <w:rFonts w:ascii="Times New Roman" w:hAnsi="Times New Roman"/>
          <w:sz w:val="24"/>
          <w:szCs w:val="24"/>
        </w:rPr>
        <w:t xml:space="preserve"> </w:t>
      </w:r>
      <w:r w:rsidR="00FC04C8">
        <w:rPr>
          <w:rFonts w:ascii="Times New Roman" w:hAnsi="Times New Roman"/>
          <w:sz w:val="24"/>
          <w:szCs w:val="24"/>
        </w:rPr>
        <w:t>t</w:t>
      </w:r>
      <w:r w:rsidR="00F67EDF">
        <w:rPr>
          <w:rFonts w:ascii="Times New Roman" w:hAnsi="Times New Roman"/>
          <w:sz w:val="24"/>
          <w:szCs w:val="24"/>
        </w:rPr>
        <w:t>he socio-economic and material conditions that characterize and limit female access to higher education</w:t>
      </w:r>
      <w:r w:rsidR="00FC04C8">
        <w:rPr>
          <w:rFonts w:ascii="Times New Roman" w:hAnsi="Times New Roman"/>
          <w:sz w:val="24"/>
          <w:szCs w:val="24"/>
        </w:rPr>
        <w:t>;</w:t>
      </w:r>
      <w:r w:rsidR="00F67EDF">
        <w:rPr>
          <w:rFonts w:ascii="Times New Roman" w:hAnsi="Times New Roman"/>
          <w:sz w:val="24"/>
          <w:szCs w:val="24"/>
        </w:rPr>
        <w:t xml:space="preserve"> (3)</w:t>
      </w:r>
      <w:r w:rsidR="00F67EDF" w:rsidRPr="000868F1">
        <w:rPr>
          <w:rFonts w:ascii="Times New Roman" w:hAnsi="Times New Roman"/>
          <w:sz w:val="24"/>
          <w:szCs w:val="24"/>
        </w:rPr>
        <w:t xml:space="preserve"> </w:t>
      </w:r>
      <w:r w:rsidR="00FC04C8">
        <w:rPr>
          <w:rFonts w:ascii="Times New Roman" w:hAnsi="Times New Roman"/>
          <w:sz w:val="24"/>
          <w:szCs w:val="24"/>
        </w:rPr>
        <w:t>s</w:t>
      </w:r>
      <w:r w:rsidR="00F67EDF">
        <w:rPr>
          <w:rFonts w:ascii="Times New Roman" w:hAnsi="Times New Roman"/>
          <w:sz w:val="24"/>
          <w:szCs w:val="24"/>
        </w:rPr>
        <w:t>trategies for inclusion</w:t>
      </w:r>
      <w:r w:rsidR="002E1B63">
        <w:rPr>
          <w:rFonts w:ascii="Times New Roman" w:hAnsi="Times New Roman"/>
          <w:sz w:val="24"/>
          <w:szCs w:val="24"/>
        </w:rPr>
        <w:t>;</w:t>
      </w:r>
      <w:r w:rsidR="00F67EDF" w:rsidRPr="000868F1">
        <w:rPr>
          <w:rFonts w:ascii="Times New Roman" w:hAnsi="Times New Roman"/>
          <w:sz w:val="24"/>
          <w:szCs w:val="24"/>
        </w:rPr>
        <w:t xml:space="preserve"> and</w:t>
      </w:r>
      <w:r w:rsidR="00F67EDF">
        <w:rPr>
          <w:rFonts w:ascii="Times New Roman" w:hAnsi="Times New Roman"/>
          <w:sz w:val="24"/>
          <w:szCs w:val="24"/>
        </w:rPr>
        <w:t xml:space="preserve"> (4)</w:t>
      </w:r>
      <w:r w:rsidR="00F67EDF" w:rsidRPr="000868F1">
        <w:rPr>
          <w:rFonts w:ascii="Times New Roman" w:hAnsi="Times New Roman"/>
          <w:sz w:val="24"/>
          <w:szCs w:val="24"/>
        </w:rPr>
        <w:t xml:space="preserve"> the </w:t>
      </w:r>
      <w:r w:rsidR="00F67EDF">
        <w:rPr>
          <w:rFonts w:ascii="Times New Roman" w:hAnsi="Times New Roman"/>
          <w:sz w:val="24"/>
          <w:szCs w:val="24"/>
        </w:rPr>
        <w:t>relationship between access and wider socio-economic transformations. The study points out that while government</w:t>
      </w:r>
      <w:r w:rsidR="002E1B63">
        <w:rPr>
          <w:rFonts w:ascii="Times New Roman" w:hAnsi="Times New Roman"/>
          <w:sz w:val="24"/>
          <w:szCs w:val="24"/>
        </w:rPr>
        <w:t>-</w:t>
      </w:r>
      <w:r w:rsidR="00F67EDF">
        <w:rPr>
          <w:rFonts w:ascii="Times New Roman" w:hAnsi="Times New Roman"/>
          <w:sz w:val="24"/>
          <w:szCs w:val="24"/>
        </w:rPr>
        <w:t>initiated policies within most countries of the commonwealth have led to an increase in the number of women accessing higher education institutions</w:t>
      </w:r>
      <w:r w:rsidR="002E1B63">
        <w:rPr>
          <w:rFonts w:ascii="Times New Roman" w:hAnsi="Times New Roman"/>
          <w:sz w:val="24"/>
          <w:szCs w:val="24"/>
        </w:rPr>
        <w:t>,</w:t>
      </w:r>
      <w:r w:rsidR="00F67EDF">
        <w:rPr>
          <w:rFonts w:ascii="Times New Roman" w:hAnsi="Times New Roman"/>
          <w:sz w:val="24"/>
          <w:szCs w:val="24"/>
        </w:rPr>
        <w:t xml:space="preserve"> the manner </w:t>
      </w:r>
      <w:r w:rsidR="002E1B63">
        <w:rPr>
          <w:rFonts w:ascii="Times New Roman" w:hAnsi="Times New Roman"/>
          <w:sz w:val="24"/>
          <w:szCs w:val="24"/>
        </w:rPr>
        <w:t xml:space="preserve">by which </w:t>
      </w:r>
      <w:r w:rsidR="00F67EDF">
        <w:rPr>
          <w:rFonts w:ascii="Times New Roman" w:hAnsi="Times New Roman"/>
          <w:sz w:val="24"/>
          <w:szCs w:val="24"/>
        </w:rPr>
        <w:t>the institutions have introduced and implemented the policies has not redistributed access opportunities equitably among all the social groups. As eviden</w:t>
      </w:r>
      <w:r w:rsidR="002E1B63">
        <w:rPr>
          <w:rFonts w:ascii="Times New Roman" w:hAnsi="Times New Roman"/>
          <w:sz w:val="24"/>
          <w:szCs w:val="24"/>
        </w:rPr>
        <w:t>ced</w:t>
      </w:r>
      <w:r w:rsidR="00F67EDF">
        <w:rPr>
          <w:rFonts w:ascii="Times New Roman" w:hAnsi="Times New Roman"/>
          <w:sz w:val="24"/>
          <w:szCs w:val="24"/>
        </w:rPr>
        <w:t xml:space="preserve"> in Table </w:t>
      </w:r>
      <w:r w:rsidR="002E1B63">
        <w:rPr>
          <w:rFonts w:ascii="Times New Roman" w:hAnsi="Times New Roman"/>
          <w:sz w:val="24"/>
          <w:szCs w:val="24"/>
        </w:rPr>
        <w:t>5.</w:t>
      </w:r>
      <w:r w:rsidR="00F67EDF">
        <w:rPr>
          <w:rFonts w:ascii="Times New Roman" w:hAnsi="Times New Roman"/>
          <w:sz w:val="24"/>
          <w:szCs w:val="24"/>
        </w:rPr>
        <w:t>1, there is a common trend in the percentage of women accessing educational opportunities within the various levels of the education ladder.</w:t>
      </w:r>
    </w:p>
    <w:p w:rsidR="00F67EDF" w:rsidRDefault="00F67EDF" w:rsidP="00F67EDF">
      <w:pPr>
        <w:spacing w:line="360" w:lineRule="auto"/>
        <w:contextualSpacing/>
        <w:jc w:val="both"/>
        <w:rPr>
          <w:rFonts w:ascii="Times New Roman" w:hAnsi="Times New Roman"/>
          <w:b/>
          <w:sz w:val="24"/>
          <w:szCs w:val="24"/>
        </w:rPr>
      </w:pPr>
    </w:p>
    <w:p w:rsidR="00F67EDF" w:rsidRDefault="00F67EDF" w:rsidP="00F67EDF">
      <w:pPr>
        <w:spacing w:line="360" w:lineRule="auto"/>
        <w:contextualSpacing/>
        <w:jc w:val="both"/>
        <w:rPr>
          <w:rFonts w:ascii="Times New Roman" w:hAnsi="Times New Roman"/>
          <w:b/>
          <w:sz w:val="24"/>
          <w:szCs w:val="24"/>
        </w:rPr>
      </w:pPr>
    </w:p>
    <w:p w:rsidR="00F67EDF" w:rsidRPr="00F9631D" w:rsidRDefault="002E1B63" w:rsidP="00F67EDF">
      <w:pPr>
        <w:spacing w:line="360" w:lineRule="auto"/>
        <w:contextualSpacing/>
        <w:jc w:val="both"/>
        <w:rPr>
          <w:rFonts w:ascii="Times New Roman" w:hAnsi="Times New Roman"/>
          <w:b/>
          <w:sz w:val="24"/>
          <w:szCs w:val="24"/>
        </w:rPr>
      </w:pPr>
      <w:r w:rsidRPr="00217D38">
        <w:rPr>
          <w:rFonts w:ascii="Times New Roman" w:hAnsi="Times New Roman"/>
          <w:sz w:val="24"/>
          <w:szCs w:val="24"/>
        </w:rPr>
        <w:t>TABLE 5.1</w:t>
      </w:r>
      <w:r>
        <w:rPr>
          <w:rFonts w:ascii="Times New Roman" w:hAnsi="Times New Roman"/>
          <w:b/>
          <w:sz w:val="24"/>
          <w:szCs w:val="24"/>
        </w:rPr>
        <w:t>:</w:t>
      </w:r>
      <w:r w:rsidRPr="00EA13FA">
        <w:rPr>
          <w:rFonts w:ascii="Times New Roman" w:hAnsi="Times New Roman"/>
          <w:sz w:val="24"/>
          <w:szCs w:val="24"/>
        </w:rPr>
        <w:t xml:space="preserve"> </w:t>
      </w:r>
      <w:r w:rsidRPr="00EA13FA">
        <w:rPr>
          <w:rFonts w:ascii="Times New Roman" w:hAnsi="Times New Roman"/>
          <w:i/>
          <w:sz w:val="24"/>
          <w:szCs w:val="24"/>
        </w:rPr>
        <w:t>PROPORTION OF WOMEN ENROLLED IN PRIMARY, SECONDARY AND TERTIARY EDUCATION, 2000</w:t>
      </w:r>
      <w:r>
        <w:rPr>
          <w:rFonts w:ascii="Times New Roman" w:hAnsi="Times New Roman"/>
          <w:i/>
          <w:sz w:val="24"/>
          <w:szCs w:val="24"/>
        </w:rPr>
        <w:t>-20</w:t>
      </w:r>
      <w:r w:rsidRPr="00EA13FA">
        <w:rPr>
          <w:rFonts w:ascii="Times New Roman" w:hAnsi="Times New Roman"/>
          <w:i/>
          <w:sz w:val="24"/>
          <w:szCs w:val="24"/>
        </w:rPr>
        <w:t>01</w:t>
      </w:r>
    </w:p>
    <w:p w:rsidR="00F67EDF" w:rsidRPr="00EA13FA" w:rsidRDefault="00F67EDF" w:rsidP="00F67EDF">
      <w:pPr>
        <w:spacing w:line="240" w:lineRule="auto"/>
        <w:contextualSpacing/>
        <w:rPr>
          <w:rFonts w:ascii="Times New Roman" w:hAnsi="Times New Roman"/>
          <w:sz w:val="24"/>
          <w:szCs w:val="24"/>
        </w:rPr>
      </w:pPr>
      <w:r w:rsidRPr="00EA13FA">
        <w:rPr>
          <w:rFonts w:ascii="Times New Roman" w:hAnsi="Times New Roman"/>
          <w:sz w:val="24"/>
          <w:szCs w:val="24"/>
        </w:rPr>
        <w:t xml:space="preserve"> </w:t>
      </w:r>
    </w:p>
    <w:tbl>
      <w:tblPr>
        <w:tblW w:w="0" w:type="auto"/>
        <w:tblLayout w:type="fixed"/>
        <w:tblLook w:val="0000"/>
      </w:tblPr>
      <w:tblGrid>
        <w:gridCol w:w="1641"/>
        <w:gridCol w:w="1284"/>
        <w:gridCol w:w="1906"/>
        <w:gridCol w:w="1549"/>
        <w:gridCol w:w="1549"/>
        <w:gridCol w:w="1314"/>
      </w:tblGrid>
      <w:tr w:rsidR="00F67EDF" w:rsidRPr="00C13AFD" w:rsidTr="0074580D">
        <w:tc>
          <w:tcPr>
            <w:tcW w:w="1641" w:type="dxa"/>
            <w:tcBorders>
              <w:bottom w:val="single" w:sz="4" w:space="0" w:color="auto"/>
            </w:tcBorders>
          </w:tcPr>
          <w:p w:rsidR="00F67EDF" w:rsidRPr="00C13AFD" w:rsidRDefault="00F67EDF" w:rsidP="0074580D">
            <w:pPr>
              <w:spacing w:line="240" w:lineRule="auto"/>
              <w:contextualSpacing/>
              <w:rPr>
                <w:rFonts w:ascii="Times New Roman" w:hAnsi="Times New Roman"/>
                <w:b/>
                <w:sz w:val="20"/>
                <w:szCs w:val="20"/>
              </w:rPr>
            </w:pPr>
          </w:p>
        </w:tc>
        <w:tc>
          <w:tcPr>
            <w:tcW w:w="1284" w:type="dxa"/>
            <w:tcBorders>
              <w:bottom w:val="single" w:sz="4" w:space="0" w:color="auto"/>
            </w:tcBorders>
          </w:tcPr>
          <w:p w:rsidR="00F67EDF" w:rsidRPr="00C13AFD" w:rsidRDefault="00F67EDF" w:rsidP="0074580D">
            <w:pPr>
              <w:spacing w:line="240" w:lineRule="auto"/>
              <w:contextualSpacing/>
              <w:jc w:val="center"/>
              <w:rPr>
                <w:rFonts w:ascii="Times New Roman" w:hAnsi="Times New Roman"/>
                <w:b/>
                <w:sz w:val="20"/>
                <w:szCs w:val="20"/>
              </w:rPr>
            </w:pPr>
            <w:r w:rsidRPr="00C13AFD">
              <w:rPr>
                <w:rFonts w:ascii="Times New Roman" w:hAnsi="Times New Roman"/>
                <w:b/>
                <w:sz w:val="20"/>
                <w:szCs w:val="20"/>
              </w:rPr>
              <w:t>Nigeria</w:t>
            </w:r>
          </w:p>
        </w:tc>
        <w:tc>
          <w:tcPr>
            <w:tcW w:w="1906" w:type="dxa"/>
            <w:tcBorders>
              <w:bottom w:val="single" w:sz="4" w:space="0" w:color="auto"/>
            </w:tcBorders>
          </w:tcPr>
          <w:p w:rsidR="00F67EDF" w:rsidRPr="00C13AFD" w:rsidRDefault="00F67EDF" w:rsidP="0074580D">
            <w:pPr>
              <w:spacing w:line="240" w:lineRule="auto"/>
              <w:contextualSpacing/>
              <w:jc w:val="center"/>
              <w:rPr>
                <w:rFonts w:ascii="Times New Roman" w:hAnsi="Times New Roman"/>
                <w:b/>
                <w:sz w:val="20"/>
                <w:szCs w:val="20"/>
              </w:rPr>
            </w:pPr>
            <w:r>
              <w:rPr>
                <w:rFonts w:ascii="Times New Roman" w:hAnsi="Times New Roman"/>
                <w:b/>
                <w:sz w:val="20"/>
                <w:szCs w:val="20"/>
              </w:rPr>
              <w:t xml:space="preserve">           </w:t>
            </w:r>
            <w:r w:rsidRPr="00C13AFD">
              <w:rPr>
                <w:rFonts w:ascii="Times New Roman" w:hAnsi="Times New Roman"/>
                <w:b/>
                <w:sz w:val="20"/>
                <w:szCs w:val="20"/>
              </w:rPr>
              <w:t>South Africa</w:t>
            </w:r>
          </w:p>
        </w:tc>
        <w:tc>
          <w:tcPr>
            <w:tcW w:w="1549" w:type="dxa"/>
            <w:tcBorders>
              <w:bottom w:val="single" w:sz="4" w:space="0" w:color="auto"/>
            </w:tcBorders>
          </w:tcPr>
          <w:p w:rsidR="00F67EDF" w:rsidRPr="00C13AFD" w:rsidRDefault="00F67EDF" w:rsidP="0074580D">
            <w:pPr>
              <w:spacing w:line="240" w:lineRule="auto"/>
              <w:contextualSpacing/>
              <w:jc w:val="center"/>
              <w:rPr>
                <w:rFonts w:ascii="Times New Roman" w:hAnsi="Times New Roman"/>
                <w:b/>
                <w:sz w:val="20"/>
                <w:szCs w:val="20"/>
              </w:rPr>
            </w:pPr>
          </w:p>
        </w:tc>
        <w:tc>
          <w:tcPr>
            <w:tcW w:w="1549" w:type="dxa"/>
            <w:tcBorders>
              <w:bottom w:val="single" w:sz="4" w:space="0" w:color="auto"/>
            </w:tcBorders>
          </w:tcPr>
          <w:p w:rsidR="00F67EDF" w:rsidRPr="00C13AFD" w:rsidRDefault="00F67EDF" w:rsidP="0074580D">
            <w:pPr>
              <w:spacing w:line="240" w:lineRule="auto"/>
              <w:contextualSpacing/>
              <w:rPr>
                <w:rFonts w:ascii="Times New Roman" w:hAnsi="Times New Roman"/>
                <w:b/>
                <w:sz w:val="20"/>
                <w:szCs w:val="20"/>
              </w:rPr>
            </w:pPr>
            <w:r w:rsidRPr="00C13AFD">
              <w:rPr>
                <w:rFonts w:ascii="Times New Roman" w:hAnsi="Times New Roman"/>
                <w:b/>
                <w:sz w:val="20"/>
                <w:szCs w:val="20"/>
              </w:rPr>
              <w:t>Tanzania</w:t>
            </w:r>
          </w:p>
        </w:tc>
        <w:tc>
          <w:tcPr>
            <w:tcW w:w="1314" w:type="dxa"/>
            <w:tcBorders>
              <w:bottom w:val="single" w:sz="4" w:space="0" w:color="auto"/>
            </w:tcBorders>
          </w:tcPr>
          <w:p w:rsidR="00F67EDF" w:rsidRPr="00C13AFD" w:rsidRDefault="00F67EDF" w:rsidP="0074580D">
            <w:pPr>
              <w:spacing w:line="240" w:lineRule="auto"/>
              <w:contextualSpacing/>
              <w:jc w:val="center"/>
              <w:rPr>
                <w:rFonts w:ascii="Times New Roman" w:hAnsi="Times New Roman"/>
                <w:b/>
                <w:sz w:val="20"/>
                <w:szCs w:val="20"/>
              </w:rPr>
            </w:pPr>
            <w:r w:rsidRPr="00C13AFD">
              <w:rPr>
                <w:rFonts w:ascii="Times New Roman" w:hAnsi="Times New Roman"/>
                <w:b/>
                <w:sz w:val="20"/>
                <w:szCs w:val="20"/>
              </w:rPr>
              <w:t>Uganda</w:t>
            </w:r>
          </w:p>
        </w:tc>
      </w:tr>
      <w:tr w:rsidR="00F67EDF" w:rsidRPr="00C13AFD" w:rsidTr="0074580D">
        <w:tc>
          <w:tcPr>
            <w:tcW w:w="1641" w:type="dxa"/>
            <w:tcBorders>
              <w:top w:val="single" w:sz="4" w:space="0" w:color="auto"/>
            </w:tcBorders>
          </w:tcPr>
          <w:p w:rsidR="00F67EDF" w:rsidRPr="00C13AFD" w:rsidRDefault="00F67EDF" w:rsidP="0074580D">
            <w:pPr>
              <w:spacing w:line="240" w:lineRule="auto"/>
              <w:contextualSpacing/>
              <w:rPr>
                <w:rFonts w:ascii="Times New Roman" w:hAnsi="Times New Roman"/>
                <w:sz w:val="20"/>
                <w:szCs w:val="20"/>
              </w:rPr>
            </w:pPr>
            <w:r w:rsidRPr="00C13AFD">
              <w:rPr>
                <w:rFonts w:ascii="Times New Roman" w:hAnsi="Times New Roman"/>
                <w:sz w:val="20"/>
                <w:szCs w:val="20"/>
              </w:rPr>
              <w:t>Primary</w:t>
            </w:r>
          </w:p>
          <w:p w:rsidR="00F67EDF" w:rsidRPr="00C13AFD" w:rsidRDefault="00F67EDF" w:rsidP="0074580D">
            <w:pPr>
              <w:spacing w:line="240" w:lineRule="auto"/>
              <w:contextualSpacing/>
              <w:rPr>
                <w:rFonts w:ascii="Times New Roman" w:hAnsi="Times New Roman"/>
                <w:sz w:val="20"/>
                <w:szCs w:val="20"/>
              </w:rPr>
            </w:pPr>
          </w:p>
        </w:tc>
        <w:tc>
          <w:tcPr>
            <w:tcW w:w="1284" w:type="dxa"/>
            <w:tcBorders>
              <w:top w:val="single" w:sz="4" w:space="0" w:color="auto"/>
            </w:tcBorders>
          </w:tcPr>
          <w:p w:rsidR="00F67EDF" w:rsidRPr="00C13AFD" w:rsidRDefault="00F67EDF" w:rsidP="0074580D">
            <w:pPr>
              <w:spacing w:line="240" w:lineRule="auto"/>
              <w:contextualSpacing/>
              <w:jc w:val="center"/>
              <w:rPr>
                <w:rFonts w:ascii="Times New Roman" w:hAnsi="Times New Roman"/>
                <w:sz w:val="20"/>
                <w:szCs w:val="20"/>
              </w:rPr>
            </w:pPr>
            <w:r w:rsidRPr="00C13AFD">
              <w:rPr>
                <w:rFonts w:ascii="Times New Roman" w:hAnsi="Times New Roman"/>
                <w:sz w:val="20"/>
                <w:szCs w:val="20"/>
              </w:rPr>
              <w:t>42.9</w:t>
            </w:r>
          </w:p>
        </w:tc>
        <w:tc>
          <w:tcPr>
            <w:tcW w:w="1906" w:type="dxa"/>
            <w:tcBorders>
              <w:top w:val="single" w:sz="4" w:space="0" w:color="auto"/>
            </w:tcBorders>
          </w:tcPr>
          <w:p w:rsidR="00F67EDF" w:rsidRPr="00C13AFD" w:rsidRDefault="00F67EDF" w:rsidP="0074580D">
            <w:pPr>
              <w:spacing w:line="240" w:lineRule="auto"/>
              <w:contextualSpacing/>
              <w:jc w:val="center"/>
              <w:rPr>
                <w:rFonts w:ascii="Times New Roman" w:hAnsi="Times New Roman"/>
                <w:sz w:val="20"/>
                <w:szCs w:val="20"/>
              </w:rPr>
            </w:pPr>
            <w:r w:rsidRPr="00C13AFD">
              <w:rPr>
                <w:rFonts w:ascii="Times New Roman" w:hAnsi="Times New Roman"/>
                <w:sz w:val="20"/>
                <w:szCs w:val="20"/>
              </w:rPr>
              <w:t>49</w:t>
            </w:r>
          </w:p>
        </w:tc>
        <w:tc>
          <w:tcPr>
            <w:tcW w:w="1549" w:type="dxa"/>
            <w:tcBorders>
              <w:top w:val="single" w:sz="4" w:space="0" w:color="auto"/>
            </w:tcBorders>
          </w:tcPr>
          <w:p w:rsidR="00F67EDF" w:rsidRPr="00C13AFD" w:rsidRDefault="00F67EDF" w:rsidP="0074580D">
            <w:pPr>
              <w:spacing w:line="240" w:lineRule="auto"/>
              <w:contextualSpacing/>
              <w:jc w:val="center"/>
              <w:rPr>
                <w:rFonts w:ascii="Times New Roman" w:hAnsi="Times New Roman"/>
                <w:sz w:val="20"/>
                <w:szCs w:val="20"/>
              </w:rPr>
            </w:pPr>
          </w:p>
        </w:tc>
        <w:tc>
          <w:tcPr>
            <w:tcW w:w="1549" w:type="dxa"/>
            <w:tcBorders>
              <w:top w:val="single" w:sz="4" w:space="0" w:color="auto"/>
            </w:tcBorders>
          </w:tcPr>
          <w:p w:rsidR="00F67EDF" w:rsidRPr="00C13AFD" w:rsidRDefault="00F67EDF" w:rsidP="0074580D">
            <w:pPr>
              <w:spacing w:line="240" w:lineRule="auto"/>
              <w:contextualSpacing/>
              <w:rPr>
                <w:rFonts w:ascii="Times New Roman" w:hAnsi="Times New Roman"/>
                <w:sz w:val="20"/>
                <w:szCs w:val="20"/>
              </w:rPr>
            </w:pPr>
            <w:r w:rsidRPr="00C13AFD">
              <w:rPr>
                <w:rFonts w:ascii="Times New Roman" w:hAnsi="Times New Roman"/>
                <w:sz w:val="20"/>
                <w:szCs w:val="20"/>
              </w:rPr>
              <w:t>50</w:t>
            </w:r>
          </w:p>
        </w:tc>
        <w:tc>
          <w:tcPr>
            <w:tcW w:w="1314" w:type="dxa"/>
            <w:tcBorders>
              <w:top w:val="single" w:sz="4" w:space="0" w:color="auto"/>
            </w:tcBorders>
          </w:tcPr>
          <w:p w:rsidR="00F67EDF" w:rsidRPr="00C13AFD" w:rsidRDefault="00F67EDF" w:rsidP="0074580D">
            <w:pPr>
              <w:spacing w:line="240" w:lineRule="auto"/>
              <w:contextualSpacing/>
              <w:jc w:val="center"/>
              <w:rPr>
                <w:rFonts w:ascii="Times New Roman" w:hAnsi="Times New Roman"/>
                <w:sz w:val="20"/>
                <w:szCs w:val="20"/>
              </w:rPr>
            </w:pPr>
            <w:r w:rsidRPr="00C13AFD">
              <w:rPr>
                <w:rFonts w:ascii="Times New Roman" w:hAnsi="Times New Roman"/>
                <w:sz w:val="20"/>
                <w:szCs w:val="20"/>
              </w:rPr>
              <w:t>48</w:t>
            </w:r>
          </w:p>
        </w:tc>
      </w:tr>
      <w:tr w:rsidR="00F67EDF" w:rsidRPr="00C13AFD" w:rsidTr="0074580D">
        <w:tc>
          <w:tcPr>
            <w:tcW w:w="1641" w:type="dxa"/>
          </w:tcPr>
          <w:p w:rsidR="00F67EDF" w:rsidRPr="00C13AFD" w:rsidRDefault="00F67EDF" w:rsidP="0074580D">
            <w:pPr>
              <w:spacing w:line="240" w:lineRule="auto"/>
              <w:contextualSpacing/>
              <w:rPr>
                <w:rFonts w:ascii="Times New Roman" w:hAnsi="Times New Roman"/>
                <w:sz w:val="20"/>
                <w:szCs w:val="20"/>
              </w:rPr>
            </w:pPr>
            <w:r w:rsidRPr="00C13AFD">
              <w:rPr>
                <w:rFonts w:ascii="Times New Roman" w:hAnsi="Times New Roman"/>
                <w:sz w:val="20"/>
                <w:szCs w:val="20"/>
              </w:rPr>
              <w:t>Secondary</w:t>
            </w:r>
          </w:p>
          <w:p w:rsidR="00F67EDF" w:rsidRPr="00C13AFD" w:rsidRDefault="00F67EDF" w:rsidP="0074580D">
            <w:pPr>
              <w:spacing w:line="240" w:lineRule="auto"/>
              <w:contextualSpacing/>
              <w:rPr>
                <w:rFonts w:ascii="Times New Roman" w:hAnsi="Times New Roman"/>
                <w:sz w:val="20"/>
                <w:szCs w:val="20"/>
              </w:rPr>
            </w:pPr>
          </w:p>
        </w:tc>
        <w:tc>
          <w:tcPr>
            <w:tcW w:w="1284" w:type="dxa"/>
          </w:tcPr>
          <w:p w:rsidR="00F67EDF" w:rsidRPr="00C13AFD" w:rsidRDefault="00F67EDF" w:rsidP="0074580D">
            <w:pPr>
              <w:spacing w:line="240" w:lineRule="auto"/>
              <w:contextualSpacing/>
              <w:jc w:val="center"/>
              <w:rPr>
                <w:rFonts w:ascii="Times New Roman" w:hAnsi="Times New Roman"/>
                <w:sz w:val="20"/>
                <w:szCs w:val="20"/>
              </w:rPr>
            </w:pPr>
            <w:r w:rsidRPr="00C13AFD">
              <w:rPr>
                <w:rFonts w:ascii="Times New Roman" w:hAnsi="Times New Roman"/>
                <w:sz w:val="20"/>
                <w:szCs w:val="20"/>
              </w:rPr>
              <w:t>47</w:t>
            </w:r>
          </w:p>
        </w:tc>
        <w:tc>
          <w:tcPr>
            <w:tcW w:w="1906" w:type="dxa"/>
          </w:tcPr>
          <w:p w:rsidR="00F67EDF" w:rsidRPr="00C13AFD" w:rsidRDefault="00F67EDF" w:rsidP="0074580D">
            <w:pPr>
              <w:spacing w:line="240" w:lineRule="auto"/>
              <w:contextualSpacing/>
              <w:jc w:val="center"/>
              <w:rPr>
                <w:rFonts w:ascii="Times New Roman" w:hAnsi="Times New Roman"/>
                <w:sz w:val="20"/>
                <w:szCs w:val="20"/>
              </w:rPr>
            </w:pPr>
            <w:r w:rsidRPr="00C13AFD">
              <w:rPr>
                <w:rFonts w:ascii="Times New Roman" w:hAnsi="Times New Roman"/>
                <w:sz w:val="20"/>
                <w:szCs w:val="20"/>
              </w:rPr>
              <w:t>52</w:t>
            </w:r>
          </w:p>
        </w:tc>
        <w:tc>
          <w:tcPr>
            <w:tcW w:w="1549" w:type="dxa"/>
          </w:tcPr>
          <w:p w:rsidR="00F67EDF" w:rsidRPr="00C13AFD" w:rsidRDefault="00F67EDF" w:rsidP="0074580D">
            <w:pPr>
              <w:spacing w:line="240" w:lineRule="auto"/>
              <w:contextualSpacing/>
              <w:jc w:val="center"/>
              <w:rPr>
                <w:rFonts w:ascii="Times New Roman" w:hAnsi="Times New Roman"/>
                <w:sz w:val="20"/>
                <w:szCs w:val="20"/>
              </w:rPr>
            </w:pPr>
          </w:p>
        </w:tc>
        <w:tc>
          <w:tcPr>
            <w:tcW w:w="1549" w:type="dxa"/>
          </w:tcPr>
          <w:p w:rsidR="00F67EDF" w:rsidRPr="00C13AFD" w:rsidRDefault="00F67EDF" w:rsidP="0074580D">
            <w:pPr>
              <w:spacing w:line="240" w:lineRule="auto"/>
              <w:contextualSpacing/>
              <w:rPr>
                <w:rFonts w:ascii="Times New Roman" w:hAnsi="Times New Roman"/>
                <w:sz w:val="20"/>
                <w:szCs w:val="20"/>
              </w:rPr>
            </w:pPr>
            <w:r w:rsidRPr="00C13AFD">
              <w:rPr>
                <w:rFonts w:ascii="Times New Roman" w:hAnsi="Times New Roman"/>
                <w:sz w:val="20"/>
                <w:szCs w:val="20"/>
              </w:rPr>
              <w:t>45</w:t>
            </w:r>
          </w:p>
        </w:tc>
        <w:tc>
          <w:tcPr>
            <w:tcW w:w="1314" w:type="dxa"/>
          </w:tcPr>
          <w:p w:rsidR="00F67EDF" w:rsidRPr="00C13AFD" w:rsidRDefault="00F67EDF" w:rsidP="0074580D">
            <w:pPr>
              <w:spacing w:line="240" w:lineRule="auto"/>
              <w:contextualSpacing/>
              <w:jc w:val="center"/>
              <w:rPr>
                <w:rFonts w:ascii="Times New Roman" w:hAnsi="Times New Roman"/>
                <w:sz w:val="20"/>
                <w:szCs w:val="20"/>
              </w:rPr>
            </w:pPr>
            <w:r w:rsidRPr="00C13AFD">
              <w:rPr>
                <w:rFonts w:ascii="Times New Roman" w:hAnsi="Times New Roman"/>
                <w:sz w:val="20"/>
                <w:szCs w:val="20"/>
              </w:rPr>
              <w:t>39</w:t>
            </w:r>
          </w:p>
        </w:tc>
      </w:tr>
      <w:tr w:rsidR="00F67EDF" w:rsidRPr="00C13AFD" w:rsidTr="0074580D">
        <w:tc>
          <w:tcPr>
            <w:tcW w:w="1641" w:type="dxa"/>
            <w:tcBorders>
              <w:bottom w:val="single" w:sz="4" w:space="0" w:color="auto"/>
            </w:tcBorders>
          </w:tcPr>
          <w:p w:rsidR="00F67EDF" w:rsidRPr="00C13AFD" w:rsidRDefault="00F67EDF" w:rsidP="0074580D">
            <w:pPr>
              <w:spacing w:line="240" w:lineRule="auto"/>
              <w:contextualSpacing/>
              <w:rPr>
                <w:rFonts w:ascii="Times New Roman" w:hAnsi="Times New Roman"/>
                <w:sz w:val="20"/>
                <w:szCs w:val="20"/>
              </w:rPr>
            </w:pPr>
            <w:r w:rsidRPr="00C13AFD">
              <w:rPr>
                <w:rFonts w:ascii="Times New Roman" w:hAnsi="Times New Roman"/>
                <w:sz w:val="20"/>
                <w:szCs w:val="20"/>
              </w:rPr>
              <w:t>Tertiary</w:t>
            </w:r>
          </w:p>
          <w:p w:rsidR="00F67EDF" w:rsidRPr="00C13AFD" w:rsidRDefault="00F67EDF" w:rsidP="0074580D">
            <w:pPr>
              <w:spacing w:line="240" w:lineRule="auto"/>
              <w:contextualSpacing/>
              <w:rPr>
                <w:rFonts w:ascii="Times New Roman" w:hAnsi="Times New Roman"/>
                <w:sz w:val="20"/>
                <w:szCs w:val="20"/>
              </w:rPr>
            </w:pPr>
            <w:r w:rsidRPr="00C13AFD">
              <w:rPr>
                <w:rFonts w:ascii="Times New Roman" w:hAnsi="Times New Roman"/>
                <w:sz w:val="20"/>
                <w:szCs w:val="20"/>
              </w:rPr>
              <w:t xml:space="preserve"> </w:t>
            </w:r>
          </w:p>
        </w:tc>
        <w:tc>
          <w:tcPr>
            <w:tcW w:w="1284" w:type="dxa"/>
            <w:tcBorders>
              <w:bottom w:val="single" w:sz="4" w:space="0" w:color="auto"/>
            </w:tcBorders>
          </w:tcPr>
          <w:p w:rsidR="00F67EDF" w:rsidRPr="00C13AFD" w:rsidRDefault="00F67EDF" w:rsidP="0074580D">
            <w:pPr>
              <w:spacing w:line="240" w:lineRule="auto"/>
              <w:contextualSpacing/>
              <w:jc w:val="center"/>
              <w:rPr>
                <w:rFonts w:ascii="Times New Roman" w:hAnsi="Times New Roman"/>
                <w:sz w:val="20"/>
                <w:szCs w:val="20"/>
              </w:rPr>
            </w:pPr>
            <w:r w:rsidRPr="00C13AFD">
              <w:rPr>
                <w:rFonts w:ascii="Times New Roman" w:hAnsi="Times New Roman"/>
                <w:sz w:val="20"/>
                <w:szCs w:val="20"/>
              </w:rPr>
              <w:t>39.9</w:t>
            </w:r>
          </w:p>
        </w:tc>
        <w:tc>
          <w:tcPr>
            <w:tcW w:w="1906" w:type="dxa"/>
            <w:tcBorders>
              <w:bottom w:val="single" w:sz="4" w:space="0" w:color="auto"/>
            </w:tcBorders>
          </w:tcPr>
          <w:p w:rsidR="00F67EDF" w:rsidRPr="00C13AFD" w:rsidRDefault="00F67EDF" w:rsidP="0074580D">
            <w:pPr>
              <w:spacing w:line="240" w:lineRule="auto"/>
              <w:contextualSpacing/>
              <w:jc w:val="center"/>
              <w:rPr>
                <w:rFonts w:ascii="Times New Roman" w:hAnsi="Times New Roman"/>
                <w:sz w:val="20"/>
                <w:szCs w:val="20"/>
              </w:rPr>
            </w:pPr>
            <w:r w:rsidRPr="00C13AFD">
              <w:rPr>
                <w:rFonts w:ascii="Times New Roman" w:hAnsi="Times New Roman"/>
                <w:sz w:val="20"/>
                <w:szCs w:val="20"/>
              </w:rPr>
              <w:t>53</w:t>
            </w:r>
          </w:p>
        </w:tc>
        <w:tc>
          <w:tcPr>
            <w:tcW w:w="1549" w:type="dxa"/>
            <w:tcBorders>
              <w:bottom w:val="single" w:sz="4" w:space="0" w:color="auto"/>
            </w:tcBorders>
          </w:tcPr>
          <w:p w:rsidR="00F67EDF" w:rsidRPr="00C13AFD" w:rsidRDefault="00F67EDF" w:rsidP="0074580D">
            <w:pPr>
              <w:spacing w:line="240" w:lineRule="auto"/>
              <w:contextualSpacing/>
              <w:rPr>
                <w:rFonts w:ascii="Times New Roman" w:hAnsi="Times New Roman"/>
                <w:sz w:val="20"/>
                <w:szCs w:val="20"/>
              </w:rPr>
            </w:pPr>
          </w:p>
        </w:tc>
        <w:tc>
          <w:tcPr>
            <w:tcW w:w="1549" w:type="dxa"/>
            <w:tcBorders>
              <w:bottom w:val="single" w:sz="4" w:space="0" w:color="auto"/>
            </w:tcBorders>
          </w:tcPr>
          <w:p w:rsidR="00F67EDF" w:rsidRPr="00C13AFD" w:rsidRDefault="00F67EDF" w:rsidP="0074580D">
            <w:pPr>
              <w:spacing w:line="240" w:lineRule="auto"/>
              <w:contextualSpacing/>
              <w:rPr>
                <w:rFonts w:ascii="Times New Roman" w:hAnsi="Times New Roman"/>
                <w:sz w:val="20"/>
                <w:szCs w:val="20"/>
              </w:rPr>
            </w:pPr>
            <w:r w:rsidRPr="00C13AFD">
              <w:rPr>
                <w:rFonts w:ascii="Times New Roman" w:hAnsi="Times New Roman"/>
                <w:sz w:val="20"/>
                <w:szCs w:val="20"/>
              </w:rPr>
              <w:t>24</w:t>
            </w:r>
          </w:p>
        </w:tc>
        <w:tc>
          <w:tcPr>
            <w:tcW w:w="1314" w:type="dxa"/>
            <w:tcBorders>
              <w:bottom w:val="single" w:sz="4" w:space="0" w:color="auto"/>
            </w:tcBorders>
          </w:tcPr>
          <w:p w:rsidR="00F67EDF" w:rsidRPr="00C13AFD" w:rsidRDefault="00F67EDF" w:rsidP="0074580D">
            <w:pPr>
              <w:spacing w:line="240" w:lineRule="auto"/>
              <w:contextualSpacing/>
              <w:jc w:val="center"/>
              <w:rPr>
                <w:rFonts w:ascii="Times New Roman" w:hAnsi="Times New Roman"/>
                <w:sz w:val="20"/>
                <w:szCs w:val="20"/>
              </w:rPr>
            </w:pPr>
            <w:r w:rsidRPr="00C13AFD">
              <w:rPr>
                <w:rFonts w:ascii="Times New Roman" w:hAnsi="Times New Roman"/>
                <w:sz w:val="20"/>
                <w:szCs w:val="20"/>
              </w:rPr>
              <w:t>34</w:t>
            </w:r>
          </w:p>
        </w:tc>
      </w:tr>
    </w:tbl>
    <w:p w:rsidR="00F67EDF" w:rsidRPr="00C13AFD" w:rsidRDefault="00F67EDF" w:rsidP="00F67EDF">
      <w:pPr>
        <w:spacing w:line="240" w:lineRule="auto"/>
        <w:contextualSpacing/>
        <w:rPr>
          <w:rFonts w:ascii="Times New Roman" w:hAnsi="Times New Roman"/>
          <w:sz w:val="20"/>
          <w:szCs w:val="20"/>
        </w:rPr>
      </w:pPr>
      <w:r w:rsidRPr="00B925FF">
        <w:rPr>
          <w:rFonts w:ascii="Times New Roman" w:hAnsi="Times New Roman"/>
          <w:sz w:val="24"/>
          <w:szCs w:val="24"/>
        </w:rPr>
        <w:t>Source: UNESCO, Institute of Statistics Global Education Digest 2003</w:t>
      </w:r>
      <w:r>
        <w:rPr>
          <w:rFonts w:ascii="Times New Roman" w:hAnsi="Times New Roman"/>
          <w:sz w:val="24"/>
          <w:szCs w:val="24"/>
        </w:rPr>
        <w:t>, as quoted in</w:t>
      </w:r>
      <w:r w:rsidRPr="00C13AFD">
        <w:rPr>
          <w:rFonts w:ascii="Times New Roman" w:hAnsi="Times New Roman"/>
          <w:sz w:val="20"/>
          <w:szCs w:val="20"/>
        </w:rPr>
        <w:t xml:space="preserve"> Morley et al 2006</w:t>
      </w:r>
      <w:r>
        <w:rPr>
          <w:rFonts w:ascii="Times New Roman" w:hAnsi="Times New Roman"/>
          <w:sz w:val="20"/>
          <w:szCs w:val="20"/>
        </w:rPr>
        <w:t>, p2</w:t>
      </w:r>
    </w:p>
    <w:p w:rsidR="00F67EDF" w:rsidRPr="009125E2" w:rsidRDefault="00F67EDF" w:rsidP="00F67EDF">
      <w:pPr>
        <w:spacing w:line="240" w:lineRule="auto"/>
        <w:contextualSpacing/>
        <w:rPr>
          <w:rFonts w:ascii="Times New Roman" w:hAnsi="Times New Roman"/>
          <w:sz w:val="24"/>
          <w:szCs w:val="24"/>
          <w:lang w:val="en-US"/>
        </w:rPr>
      </w:pPr>
    </w:p>
    <w:p w:rsidR="00F67EDF" w:rsidRDefault="00F67EDF" w:rsidP="00F67EDF">
      <w:pPr>
        <w:spacing w:line="240" w:lineRule="auto"/>
        <w:contextualSpacing/>
        <w:rPr>
          <w:rFonts w:ascii="Times New Roman" w:hAnsi="Times New Roman"/>
          <w:sz w:val="20"/>
          <w:szCs w:val="20"/>
        </w:rPr>
      </w:pPr>
    </w:p>
    <w:p w:rsidR="00F67EDF" w:rsidRDefault="00F67EDF" w:rsidP="00F67EDF">
      <w:pPr>
        <w:spacing w:line="240" w:lineRule="auto"/>
        <w:contextualSpacing/>
        <w:jc w:val="both"/>
        <w:rPr>
          <w:rFonts w:ascii="Times New Roman" w:hAnsi="Times New Roman"/>
          <w:b/>
          <w:bCs/>
          <w:sz w:val="24"/>
          <w:szCs w:val="24"/>
        </w:rPr>
      </w:pPr>
    </w:p>
    <w:p w:rsidR="00F67EDF" w:rsidRDefault="00F67EDF" w:rsidP="00F67EDF">
      <w:pPr>
        <w:spacing w:line="240" w:lineRule="auto"/>
        <w:contextualSpacing/>
        <w:jc w:val="both"/>
        <w:rPr>
          <w:rFonts w:ascii="Times New Roman" w:hAnsi="Times New Roman"/>
          <w:b/>
          <w:bCs/>
          <w:sz w:val="24"/>
          <w:szCs w:val="24"/>
        </w:rPr>
      </w:pPr>
    </w:p>
    <w:p w:rsidR="00F67EDF" w:rsidRPr="001742F0" w:rsidRDefault="00F67EDF" w:rsidP="00F67EDF">
      <w:pPr>
        <w:spacing w:line="240" w:lineRule="auto"/>
        <w:contextualSpacing/>
        <w:jc w:val="both"/>
        <w:rPr>
          <w:rFonts w:ascii="Times New Roman" w:hAnsi="Times New Roman"/>
          <w:b/>
          <w:bCs/>
          <w:sz w:val="24"/>
          <w:szCs w:val="24"/>
        </w:rPr>
      </w:pPr>
      <w:r w:rsidRPr="001742F0">
        <w:rPr>
          <w:rFonts w:ascii="Times New Roman" w:hAnsi="Times New Roman"/>
          <w:b/>
          <w:bCs/>
          <w:sz w:val="24"/>
          <w:szCs w:val="24"/>
        </w:rPr>
        <w:t>Access</w:t>
      </w:r>
      <w:r>
        <w:rPr>
          <w:rFonts w:ascii="Times New Roman" w:hAnsi="Times New Roman"/>
          <w:b/>
          <w:bCs/>
          <w:sz w:val="24"/>
          <w:szCs w:val="24"/>
        </w:rPr>
        <w:t>, Participation and Completion</w:t>
      </w:r>
      <w:r w:rsidRPr="001742F0">
        <w:rPr>
          <w:rFonts w:ascii="Times New Roman" w:hAnsi="Times New Roman"/>
          <w:b/>
          <w:bCs/>
          <w:sz w:val="24"/>
          <w:szCs w:val="24"/>
        </w:rPr>
        <w:t xml:space="preserve"> </w:t>
      </w:r>
      <w:r>
        <w:rPr>
          <w:rFonts w:ascii="Times New Roman" w:hAnsi="Times New Roman"/>
          <w:b/>
          <w:bCs/>
          <w:sz w:val="24"/>
          <w:szCs w:val="24"/>
        </w:rPr>
        <w:t>P</w:t>
      </w:r>
      <w:r w:rsidRPr="001742F0">
        <w:rPr>
          <w:rFonts w:ascii="Times New Roman" w:hAnsi="Times New Roman"/>
          <w:b/>
          <w:bCs/>
          <w:sz w:val="24"/>
          <w:szCs w:val="24"/>
        </w:rPr>
        <w:t xml:space="preserve">atterns </w:t>
      </w:r>
      <w:r>
        <w:rPr>
          <w:rFonts w:ascii="Times New Roman" w:hAnsi="Times New Roman"/>
          <w:b/>
          <w:bCs/>
          <w:sz w:val="24"/>
          <w:szCs w:val="24"/>
        </w:rPr>
        <w:t>for</w:t>
      </w:r>
      <w:r w:rsidRPr="001742F0">
        <w:rPr>
          <w:rFonts w:ascii="Times New Roman" w:hAnsi="Times New Roman"/>
          <w:b/>
          <w:bCs/>
          <w:sz w:val="24"/>
          <w:szCs w:val="24"/>
        </w:rPr>
        <w:t xml:space="preserve"> Female Students to Higher Education</w:t>
      </w:r>
    </w:p>
    <w:p w:rsidR="00F67EDF" w:rsidRPr="001742F0" w:rsidRDefault="00F67EDF" w:rsidP="00F67EDF">
      <w:pPr>
        <w:spacing w:line="240" w:lineRule="auto"/>
        <w:contextualSpacing/>
        <w:jc w:val="both"/>
        <w:rPr>
          <w:rFonts w:ascii="Times New Roman" w:hAnsi="Times New Roman"/>
          <w:b/>
          <w:bCs/>
          <w:sz w:val="24"/>
          <w:szCs w:val="24"/>
        </w:rPr>
      </w:pPr>
    </w:p>
    <w:p w:rsidR="007F594C" w:rsidRDefault="00F67EDF" w:rsidP="00F67EDF">
      <w:pPr>
        <w:spacing w:line="360" w:lineRule="auto"/>
        <w:contextualSpacing/>
        <w:jc w:val="both"/>
        <w:rPr>
          <w:rFonts w:ascii="Times New Roman" w:hAnsi="Times New Roman"/>
          <w:sz w:val="24"/>
          <w:szCs w:val="24"/>
        </w:rPr>
      </w:pPr>
      <w:r>
        <w:rPr>
          <w:rFonts w:ascii="Times New Roman" w:hAnsi="Times New Roman"/>
          <w:bCs/>
          <w:sz w:val="24"/>
          <w:szCs w:val="24"/>
        </w:rPr>
        <w:t xml:space="preserve"> The key determinant of access patterns for female students to higher education institutions are performance and transition rates from primary and secondary schools respectively. </w:t>
      </w:r>
      <w:r>
        <w:rPr>
          <w:rFonts w:ascii="Times New Roman" w:hAnsi="Times New Roman"/>
          <w:sz w:val="24"/>
          <w:szCs w:val="24"/>
        </w:rPr>
        <w:t xml:space="preserve">In Nigeria, access to higher education depends on a candidate’s performance in the competitive examinations organized by the Joint Admissions and Matriculation Board (JAMB). Female </w:t>
      </w:r>
      <w:r>
        <w:rPr>
          <w:rFonts w:ascii="Times New Roman" w:hAnsi="Times New Roman"/>
          <w:sz w:val="24"/>
          <w:szCs w:val="24"/>
        </w:rPr>
        <w:lastRenderedPageBreak/>
        <w:t>enro</w:t>
      </w:r>
      <w:r w:rsidR="002E1B63">
        <w:rPr>
          <w:rFonts w:ascii="Times New Roman" w:hAnsi="Times New Roman"/>
          <w:sz w:val="24"/>
          <w:szCs w:val="24"/>
        </w:rPr>
        <w:t>l</w:t>
      </w:r>
      <w:r>
        <w:rPr>
          <w:rFonts w:ascii="Times New Roman" w:hAnsi="Times New Roman"/>
          <w:sz w:val="24"/>
          <w:szCs w:val="24"/>
        </w:rPr>
        <w:t>lments in Nigeria universities for 2000</w:t>
      </w:r>
      <w:r w:rsidR="002E1B63">
        <w:rPr>
          <w:rFonts w:ascii="Times New Roman" w:hAnsi="Times New Roman"/>
          <w:sz w:val="24"/>
          <w:szCs w:val="24"/>
        </w:rPr>
        <w:t>-</w:t>
      </w:r>
      <w:r>
        <w:rPr>
          <w:rFonts w:ascii="Times New Roman" w:hAnsi="Times New Roman"/>
          <w:sz w:val="24"/>
          <w:szCs w:val="24"/>
        </w:rPr>
        <w:t>2001, 2001</w:t>
      </w:r>
      <w:r w:rsidR="002E1B63">
        <w:rPr>
          <w:rFonts w:ascii="Times New Roman" w:hAnsi="Times New Roman"/>
          <w:sz w:val="24"/>
          <w:szCs w:val="24"/>
        </w:rPr>
        <w:t>-</w:t>
      </w:r>
      <w:r>
        <w:rPr>
          <w:rFonts w:ascii="Times New Roman" w:hAnsi="Times New Roman"/>
          <w:sz w:val="24"/>
          <w:szCs w:val="24"/>
        </w:rPr>
        <w:t>2002, 2002</w:t>
      </w:r>
      <w:r w:rsidR="002E1B63">
        <w:rPr>
          <w:rFonts w:ascii="Times New Roman" w:hAnsi="Times New Roman"/>
          <w:sz w:val="24"/>
          <w:szCs w:val="24"/>
        </w:rPr>
        <w:t>-</w:t>
      </w:r>
      <w:r>
        <w:rPr>
          <w:rFonts w:ascii="Times New Roman" w:hAnsi="Times New Roman"/>
          <w:sz w:val="24"/>
          <w:szCs w:val="24"/>
        </w:rPr>
        <w:t>2003, 2003</w:t>
      </w:r>
      <w:r w:rsidR="002E1B63">
        <w:rPr>
          <w:rFonts w:ascii="Times New Roman" w:hAnsi="Times New Roman"/>
          <w:sz w:val="24"/>
          <w:szCs w:val="24"/>
        </w:rPr>
        <w:t>-</w:t>
      </w:r>
      <w:r>
        <w:rPr>
          <w:rFonts w:ascii="Times New Roman" w:hAnsi="Times New Roman"/>
          <w:sz w:val="24"/>
          <w:szCs w:val="24"/>
        </w:rPr>
        <w:t>2004 and 2004</w:t>
      </w:r>
      <w:r w:rsidR="002E1B63">
        <w:rPr>
          <w:rFonts w:ascii="Times New Roman" w:hAnsi="Times New Roman"/>
          <w:sz w:val="24"/>
          <w:szCs w:val="24"/>
        </w:rPr>
        <w:t>-</w:t>
      </w:r>
      <w:r>
        <w:rPr>
          <w:rFonts w:ascii="Times New Roman" w:hAnsi="Times New Roman"/>
          <w:sz w:val="24"/>
          <w:szCs w:val="24"/>
        </w:rPr>
        <w:t>2005 academic sessions stood at 35</w:t>
      </w:r>
      <w:r w:rsidR="002E1B63">
        <w:rPr>
          <w:rFonts w:ascii="Times New Roman" w:hAnsi="Times New Roman"/>
          <w:sz w:val="24"/>
          <w:szCs w:val="24"/>
        </w:rPr>
        <w:t xml:space="preserve"> percent</w:t>
      </w:r>
      <w:r>
        <w:rPr>
          <w:rFonts w:ascii="Times New Roman" w:hAnsi="Times New Roman"/>
          <w:sz w:val="24"/>
          <w:szCs w:val="24"/>
        </w:rPr>
        <w:t>, 38</w:t>
      </w:r>
      <w:r w:rsidR="002E1B63">
        <w:rPr>
          <w:rFonts w:ascii="Times New Roman" w:hAnsi="Times New Roman"/>
          <w:sz w:val="24"/>
          <w:szCs w:val="24"/>
        </w:rPr>
        <w:t xml:space="preserve"> percent</w:t>
      </w:r>
      <w:r>
        <w:rPr>
          <w:rFonts w:ascii="Times New Roman" w:hAnsi="Times New Roman"/>
          <w:sz w:val="24"/>
          <w:szCs w:val="24"/>
        </w:rPr>
        <w:t>, 38</w:t>
      </w:r>
      <w:r w:rsidR="002E1B63">
        <w:rPr>
          <w:rFonts w:ascii="Times New Roman" w:hAnsi="Times New Roman"/>
          <w:sz w:val="24"/>
          <w:szCs w:val="24"/>
        </w:rPr>
        <w:t xml:space="preserve"> percent</w:t>
      </w:r>
      <w:r>
        <w:rPr>
          <w:rFonts w:ascii="Times New Roman" w:hAnsi="Times New Roman"/>
          <w:sz w:val="24"/>
          <w:szCs w:val="24"/>
        </w:rPr>
        <w:t>, 32</w:t>
      </w:r>
      <w:r w:rsidR="002E1B63">
        <w:rPr>
          <w:rFonts w:ascii="Times New Roman" w:hAnsi="Times New Roman"/>
          <w:sz w:val="24"/>
          <w:szCs w:val="24"/>
        </w:rPr>
        <w:t xml:space="preserve"> percent</w:t>
      </w:r>
      <w:r>
        <w:rPr>
          <w:rFonts w:ascii="Times New Roman" w:hAnsi="Times New Roman"/>
          <w:sz w:val="24"/>
          <w:szCs w:val="24"/>
        </w:rPr>
        <w:t xml:space="preserve"> and 36</w:t>
      </w:r>
      <w:r w:rsidR="002E1B63">
        <w:rPr>
          <w:rFonts w:ascii="Times New Roman" w:hAnsi="Times New Roman"/>
          <w:sz w:val="24"/>
          <w:szCs w:val="24"/>
        </w:rPr>
        <w:t xml:space="preserve"> percent</w:t>
      </w:r>
      <w:r>
        <w:rPr>
          <w:rFonts w:ascii="Times New Roman" w:hAnsi="Times New Roman"/>
          <w:sz w:val="24"/>
          <w:szCs w:val="24"/>
        </w:rPr>
        <w:t xml:space="preserve"> respectively (Federal Office of Statistics,</w:t>
      </w:r>
      <w:r w:rsidRPr="00D61121">
        <w:rPr>
          <w:rFonts w:ascii="Times New Roman" w:hAnsi="Times New Roman"/>
          <w:sz w:val="24"/>
          <w:szCs w:val="24"/>
        </w:rPr>
        <w:t xml:space="preserve"> Nigeria</w:t>
      </w:r>
      <w:r w:rsidR="002E1B63">
        <w:rPr>
          <w:rFonts w:ascii="Times New Roman" w:hAnsi="Times New Roman"/>
          <w:sz w:val="24"/>
          <w:szCs w:val="24"/>
        </w:rPr>
        <w:t>,</w:t>
      </w:r>
      <w:r w:rsidRPr="00D61121">
        <w:rPr>
          <w:rStyle w:val="CommentReference"/>
          <w:rFonts w:ascii="Times New Roman" w:hAnsi="Times New Roman"/>
          <w:sz w:val="24"/>
          <w:szCs w:val="24"/>
        </w:rPr>
        <w:t xml:space="preserve"> 2007</w:t>
      </w:r>
      <w:r w:rsidR="002E1B63">
        <w:rPr>
          <w:rStyle w:val="CommentReference"/>
          <w:rFonts w:ascii="Times New Roman" w:hAnsi="Times New Roman"/>
          <w:sz w:val="24"/>
          <w:szCs w:val="24"/>
        </w:rPr>
        <w:t>)</w:t>
      </w:r>
      <w:r>
        <w:rPr>
          <w:rFonts w:ascii="Times New Roman" w:hAnsi="Times New Roman"/>
          <w:sz w:val="24"/>
          <w:szCs w:val="24"/>
        </w:rPr>
        <w:t>.</w:t>
      </w:r>
      <w:r w:rsidRPr="00314102">
        <w:rPr>
          <w:rFonts w:ascii="Times New Roman" w:hAnsi="Times New Roman"/>
          <w:sz w:val="24"/>
          <w:szCs w:val="24"/>
        </w:rPr>
        <w:t xml:space="preserve"> </w:t>
      </w:r>
      <w:r w:rsidR="002E1B63">
        <w:rPr>
          <w:rFonts w:ascii="Times New Roman" w:hAnsi="Times New Roman"/>
          <w:sz w:val="24"/>
          <w:szCs w:val="24"/>
        </w:rPr>
        <w:t xml:space="preserve">  In the same vein, female enro</w:t>
      </w:r>
      <w:r w:rsidR="007F594C">
        <w:rPr>
          <w:rFonts w:ascii="Times New Roman" w:hAnsi="Times New Roman"/>
          <w:sz w:val="24"/>
          <w:szCs w:val="24"/>
        </w:rPr>
        <w:t>l</w:t>
      </w:r>
      <w:r w:rsidR="002E1B63">
        <w:rPr>
          <w:rFonts w:ascii="Times New Roman" w:hAnsi="Times New Roman"/>
          <w:sz w:val="24"/>
          <w:szCs w:val="24"/>
        </w:rPr>
        <w:t xml:space="preserve">lments in Kenya Public Universities stood at 54 percent, 53 percent, 54 percent, 52 percent and 60 percent  for 2003-2004, 2004-2005, 2005-2006, 2006-2007 and 2007-2008 academic sessions respectively. </w:t>
      </w:r>
    </w:p>
    <w:p w:rsidR="007F594C" w:rsidRDefault="007F594C" w:rsidP="00F67EDF">
      <w:pPr>
        <w:spacing w:line="360" w:lineRule="auto"/>
        <w:contextualSpacing/>
        <w:jc w:val="both"/>
        <w:rPr>
          <w:rFonts w:ascii="Times New Roman" w:hAnsi="Times New Roman"/>
          <w:sz w:val="24"/>
          <w:szCs w:val="24"/>
        </w:rPr>
      </w:pPr>
    </w:p>
    <w:p w:rsidR="007F594C"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7F594C">
        <w:rPr>
          <w:rFonts w:ascii="Times New Roman" w:hAnsi="Times New Roman"/>
          <w:sz w:val="24"/>
          <w:szCs w:val="24"/>
        </w:rPr>
        <w:t>In the case of Nigeria, t</w:t>
      </w:r>
      <w:r w:rsidR="00F67EDF" w:rsidRPr="00314102">
        <w:rPr>
          <w:rFonts w:ascii="Times New Roman" w:hAnsi="Times New Roman"/>
          <w:sz w:val="24"/>
          <w:szCs w:val="24"/>
        </w:rPr>
        <w:t>he percentage femal</w:t>
      </w:r>
      <w:r w:rsidR="00F67EDF">
        <w:rPr>
          <w:rFonts w:ascii="Times New Roman" w:hAnsi="Times New Roman"/>
          <w:sz w:val="24"/>
          <w:szCs w:val="24"/>
        </w:rPr>
        <w:t>e enrol</w:t>
      </w:r>
      <w:r w:rsidR="007F594C">
        <w:rPr>
          <w:rFonts w:ascii="Times New Roman" w:hAnsi="Times New Roman"/>
          <w:sz w:val="24"/>
          <w:szCs w:val="24"/>
        </w:rPr>
        <w:t>l</w:t>
      </w:r>
      <w:r w:rsidR="00F67EDF">
        <w:rPr>
          <w:rFonts w:ascii="Times New Roman" w:hAnsi="Times New Roman"/>
          <w:sz w:val="24"/>
          <w:szCs w:val="24"/>
        </w:rPr>
        <w:t>ment is often higher in s</w:t>
      </w:r>
      <w:r w:rsidR="00F67EDF" w:rsidRPr="00314102">
        <w:rPr>
          <w:rFonts w:ascii="Times New Roman" w:hAnsi="Times New Roman"/>
          <w:sz w:val="24"/>
          <w:szCs w:val="24"/>
        </w:rPr>
        <w:t xml:space="preserve">tates from the </w:t>
      </w:r>
      <w:r w:rsidR="007F594C">
        <w:rPr>
          <w:rFonts w:ascii="Times New Roman" w:hAnsi="Times New Roman"/>
          <w:sz w:val="24"/>
          <w:szCs w:val="24"/>
        </w:rPr>
        <w:t>S</w:t>
      </w:r>
      <w:r w:rsidR="00F67EDF" w:rsidRPr="00314102">
        <w:rPr>
          <w:rFonts w:ascii="Times New Roman" w:hAnsi="Times New Roman"/>
          <w:sz w:val="24"/>
          <w:szCs w:val="24"/>
        </w:rPr>
        <w:t xml:space="preserve">outhern zone than in those from the Northern zone. </w:t>
      </w:r>
      <w:r w:rsidR="007F594C">
        <w:rPr>
          <w:rFonts w:ascii="Times New Roman" w:hAnsi="Times New Roman"/>
          <w:sz w:val="24"/>
          <w:szCs w:val="24"/>
        </w:rPr>
        <w:t>A</w:t>
      </w:r>
      <w:r w:rsidR="00F67EDF" w:rsidRPr="00314102">
        <w:rPr>
          <w:rFonts w:ascii="Times New Roman" w:hAnsi="Times New Roman"/>
          <w:sz w:val="24"/>
          <w:szCs w:val="24"/>
        </w:rPr>
        <w:t xml:space="preserve"> study by Omoike (2009) involving universities in the south</w:t>
      </w:r>
      <w:r w:rsidR="007F594C">
        <w:rPr>
          <w:rFonts w:ascii="Times New Roman" w:hAnsi="Times New Roman"/>
          <w:sz w:val="24"/>
          <w:szCs w:val="24"/>
        </w:rPr>
        <w:t xml:space="preserve"> shows that </w:t>
      </w:r>
      <w:r w:rsidR="00F67EDF" w:rsidRPr="00314102">
        <w:rPr>
          <w:rFonts w:ascii="Times New Roman" w:hAnsi="Times New Roman"/>
          <w:sz w:val="24"/>
          <w:szCs w:val="24"/>
        </w:rPr>
        <w:t>most of the universities have female enro</w:t>
      </w:r>
      <w:r w:rsidR="007F594C">
        <w:rPr>
          <w:rFonts w:ascii="Times New Roman" w:hAnsi="Times New Roman"/>
          <w:sz w:val="24"/>
          <w:szCs w:val="24"/>
        </w:rPr>
        <w:t>l</w:t>
      </w:r>
      <w:r w:rsidR="00F67EDF" w:rsidRPr="00314102">
        <w:rPr>
          <w:rFonts w:ascii="Times New Roman" w:hAnsi="Times New Roman"/>
          <w:sz w:val="24"/>
          <w:szCs w:val="24"/>
        </w:rPr>
        <w:t>lments  above 40</w:t>
      </w:r>
      <w:r w:rsidR="007F594C">
        <w:rPr>
          <w:rFonts w:ascii="Times New Roman" w:hAnsi="Times New Roman"/>
          <w:sz w:val="24"/>
          <w:szCs w:val="24"/>
        </w:rPr>
        <w:t xml:space="preserve"> percent</w:t>
      </w:r>
      <w:r w:rsidR="00F67EDF" w:rsidRPr="00314102">
        <w:rPr>
          <w:rFonts w:ascii="Times New Roman" w:hAnsi="Times New Roman"/>
          <w:sz w:val="24"/>
          <w:szCs w:val="24"/>
        </w:rPr>
        <w:t>. In fact, in the 2002 admissions, Akwa- Ibom State recorded 50.1</w:t>
      </w:r>
      <w:r w:rsidR="007F594C">
        <w:rPr>
          <w:rFonts w:ascii="Times New Roman" w:hAnsi="Times New Roman"/>
          <w:sz w:val="24"/>
          <w:szCs w:val="24"/>
        </w:rPr>
        <w:t xml:space="preserve"> percent</w:t>
      </w:r>
      <w:r w:rsidR="00F67EDF" w:rsidRPr="00314102">
        <w:rPr>
          <w:rFonts w:ascii="Times New Roman" w:hAnsi="Times New Roman"/>
          <w:sz w:val="24"/>
          <w:szCs w:val="24"/>
        </w:rPr>
        <w:t xml:space="preserve"> for females </w:t>
      </w:r>
      <w:r w:rsidR="007F594C">
        <w:rPr>
          <w:rFonts w:ascii="Times New Roman" w:hAnsi="Times New Roman"/>
          <w:sz w:val="24"/>
          <w:szCs w:val="24"/>
        </w:rPr>
        <w:t>compared to</w:t>
      </w:r>
      <w:r w:rsidR="00F67EDF" w:rsidRPr="00314102">
        <w:rPr>
          <w:rFonts w:ascii="Times New Roman" w:hAnsi="Times New Roman"/>
          <w:sz w:val="24"/>
          <w:szCs w:val="24"/>
        </w:rPr>
        <w:t xml:space="preserve"> 49.8</w:t>
      </w:r>
      <w:r w:rsidR="007F594C">
        <w:rPr>
          <w:rFonts w:ascii="Times New Roman" w:hAnsi="Times New Roman"/>
          <w:sz w:val="24"/>
          <w:szCs w:val="24"/>
        </w:rPr>
        <w:t xml:space="preserve"> percent</w:t>
      </w:r>
      <w:r w:rsidR="00F67EDF" w:rsidRPr="00314102">
        <w:rPr>
          <w:rFonts w:ascii="Times New Roman" w:hAnsi="Times New Roman"/>
          <w:sz w:val="24"/>
          <w:szCs w:val="24"/>
        </w:rPr>
        <w:t xml:space="preserve"> for the males (Omoike, 2009).  </w:t>
      </w:r>
    </w:p>
    <w:p w:rsidR="007F594C" w:rsidRDefault="007F594C" w:rsidP="00F67EDF">
      <w:pPr>
        <w:spacing w:line="360" w:lineRule="auto"/>
        <w:contextualSpacing/>
        <w:jc w:val="both"/>
        <w:rPr>
          <w:rFonts w:ascii="Times New Roman" w:hAnsi="Times New Roman"/>
          <w:sz w:val="24"/>
          <w:szCs w:val="24"/>
        </w:rPr>
      </w:pPr>
    </w:p>
    <w:p w:rsidR="00F67EDF" w:rsidRPr="00CF19BD" w:rsidRDefault="00F405AD" w:rsidP="00F67EDF">
      <w:pPr>
        <w:spacing w:line="360" w:lineRule="auto"/>
        <w:contextualSpacing/>
        <w:jc w:val="both"/>
        <w:rPr>
          <w:rFonts w:ascii="Times New Roman" w:hAnsi="Times New Roman"/>
          <w:bCs/>
          <w:sz w:val="24"/>
          <w:szCs w:val="24"/>
        </w:rPr>
      </w:pPr>
      <w:r>
        <w:rPr>
          <w:rFonts w:ascii="Times New Roman" w:hAnsi="Times New Roman"/>
          <w:sz w:val="24"/>
          <w:szCs w:val="24"/>
        </w:rPr>
        <w:t xml:space="preserve">      </w:t>
      </w:r>
      <w:r w:rsidR="00F67EDF" w:rsidRPr="00314102">
        <w:rPr>
          <w:rFonts w:ascii="Times New Roman" w:hAnsi="Times New Roman"/>
          <w:sz w:val="24"/>
          <w:szCs w:val="24"/>
        </w:rPr>
        <w:t>Though no similar study is available for university admissio</w:t>
      </w:r>
      <w:r w:rsidR="00F67EDF">
        <w:rPr>
          <w:rFonts w:ascii="Times New Roman" w:hAnsi="Times New Roman"/>
          <w:sz w:val="24"/>
          <w:szCs w:val="24"/>
        </w:rPr>
        <w:t>n</w:t>
      </w:r>
      <w:r w:rsidR="00F67EDF" w:rsidRPr="00314102">
        <w:rPr>
          <w:rFonts w:ascii="Times New Roman" w:hAnsi="Times New Roman"/>
          <w:sz w:val="24"/>
          <w:szCs w:val="24"/>
        </w:rPr>
        <w:t xml:space="preserve"> in the North, the rate of female university admission is much lower in the Northern zone than in the Southern zone. For instance, the  summary of higher education enro</w:t>
      </w:r>
      <w:r w:rsidR="007F594C">
        <w:rPr>
          <w:rFonts w:ascii="Times New Roman" w:hAnsi="Times New Roman"/>
          <w:sz w:val="24"/>
          <w:szCs w:val="24"/>
        </w:rPr>
        <w:t>l</w:t>
      </w:r>
      <w:r w:rsidR="00F67EDF" w:rsidRPr="00314102">
        <w:rPr>
          <w:rFonts w:ascii="Times New Roman" w:hAnsi="Times New Roman"/>
          <w:sz w:val="24"/>
          <w:szCs w:val="24"/>
        </w:rPr>
        <w:t xml:space="preserve">lments  in Jigawa State (a Northern </w:t>
      </w:r>
      <w:r w:rsidR="007F594C">
        <w:rPr>
          <w:rFonts w:ascii="Times New Roman" w:hAnsi="Times New Roman"/>
          <w:sz w:val="24"/>
          <w:szCs w:val="24"/>
        </w:rPr>
        <w:t>s</w:t>
      </w:r>
      <w:r w:rsidR="00F67EDF" w:rsidRPr="00314102">
        <w:rPr>
          <w:rFonts w:ascii="Times New Roman" w:hAnsi="Times New Roman"/>
          <w:sz w:val="24"/>
          <w:szCs w:val="24"/>
        </w:rPr>
        <w:t>tate)  shows 89</w:t>
      </w:r>
      <w:r w:rsidR="007F594C">
        <w:rPr>
          <w:rFonts w:ascii="Times New Roman" w:hAnsi="Times New Roman"/>
          <w:sz w:val="24"/>
          <w:szCs w:val="24"/>
        </w:rPr>
        <w:t xml:space="preserve"> percent</w:t>
      </w:r>
      <w:r w:rsidR="00F67EDF" w:rsidRPr="00314102">
        <w:rPr>
          <w:rFonts w:ascii="Times New Roman" w:hAnsi="Times New Roman"/>
          <w:sz w:val="24"/>
          <w:szCs w:val="24"/>
        </w:rPr>
        <w:t xml:space="preserve"> male and 11</w:t>
      </w:r>
      <w:r w:rsidR="007F594C">
        <w:rPr>
          <w:rFonts w:ascii="Times New Roman" w:hAnsi="Times New Roman"/>
          <w:sz w:val="24"/>
          <w:szCs w:val="24"/>
        </w:rPr>
        <w:t xml:space="preserve"> percent</w:t>
      </w:r>
      <w:r w:rsidR="00F67EDF" w:rsidRPr="00314102">
        <w:rPr>
          <w:rFonts w:ascii="Times New Roman" w:hAnsi="Times New Roman"/>
          <w:sz w:val="24"/>
          <w:szCs w:val="24"/>
        </w:rPr>
        <w:t xml:space="preserve"> female  for 2005</w:t>
      </w:r>
      <w:r w:rsidR="007F594C">
        <w:rPr>
          <w:rFonts w:ascii="Times New Roman" w:hAnsi="Times New Roman"/>
          <w:sz w:val="24"/>
          <w:szCs w:val="24"/>
        </w:rPr>
        <w:t>-</w:t>
      </w:r>
      <w:r w:rsidR="00F67EDF" w:rsidRPr="00314102">
        <w:rPr>
          <w:rFonts w:ascii="Times New Roman" w:hAnsi="Times New Roman"/>
          <w:sz w:val="24"/>
          <w:szCs w:val="24"/>
        </w:rPr>
        <w:t>2006, 88</w:t>
      </w:r>
      <w:r w:rsidR="007F594C">
        <w:rPr>
          <w:rFonts w:ascii="Times New Roman" w:hAnsi="Times New Roman"/>
          <w:sz w:val="24"/>
          <w:szCs w:val="24"/>
        </w:rPr>
        <w:t xml:space="preserve"> percent</w:t>
      </w:r>
      <w:r w:rsidR="00F67EDF" w:rsidRPr="00314102">
        <w:rPr>
          <w:rFonts w:ascii="Times New Roman" w:hAnsi="Times New Roman"/>
          <w:sz w:val="24"/>
          <w:szCs w:val="24"/>
        </w:rPr>
        <w:t xml:space="preserve"> male and 12</w:t>
      </w:r>
      <w:r w:rsidR="007F594C">
        <w:rPr>
          <w:rFonts w:ascii="Times New Roman" w:hAnsi="Times New Roman"/>
          <w:sz w:val="24"/>
          <w:szCs w:val="24"/>
        </w:rPr>
        <w:t xml:space="preserve"> percent</w:t>
      </w:r>
      <w:r w:rsidR="00F67EDF" w:rsidRPr="00314102">
        <w:rPr>
          <w:rFonts w:ascii="Times New Roman" w:hAnsi="Times New Roman"/>
          <w:sz w:val="24"/>
          <w:szCs w:val="24"/>
        </w:rPr>
        <w:t xml:space="preserve"> female for 2006</w:t>
      </w:r>
      <w:r w:rsidR="007F594C">
        <w:rPr>
          <w:rFonts w:ascii="Times New Roman" w:hAnsi="Times New Roman"/>
          <w:sz w:val="24"/>
          <w:szCs w:val="24"/>
        </w:rPr>
        <w:t>-</w:t>
      </w:r>
      <w:r w:rsidR="00F67EDF" w:rsidRPr="00314102">
        <w:rPr>
          <w:rFonts w:ascii="Times New Roman" w:hAnsi="Times New Roman"/>
          <w:sz w:val="24"/>
          <w:szCs w:val="24"/>
        </w:rPr>
        <w:t>2007 as well as 88</w:t>
      </w:r>
      <w:r w:rsidR="007F594C">
        <w:rPr>
          <w:rFonts w:ascii="Times New Roman" w:hAnsi="Times New Roman"/>
          <w:sz w:val="24"/>
          <w:szCs w:val="24"/>
        </w:rPr>
        <w:t xml:space="preserve"> percent</w:t>
      </w:r>
      <w:r w:rsidR="00F67EDF">
        <w:rPr>
          <w:rFonts w:ascii="Times New Roman" w:hAnsi="Times New Roman"/>
          <w:sz w:val="24"/>
          <w:szCs w:val="24"/>
        </w:rPr>
        <w:t xml:space="preserve"> </w:t>
      </w:r>
      <w:r w:rsidR="00F67EDF" w:rsidRPr="00314102">
        <w:rPr>
          <w:rFonts w:ascii="Times New Roman" w:hAnsi="Times New Roman"/>
          <w:sz w:val="24"/>
          <w:szCs w:val="24"/>
        </w:rPr>
        <w:t>male and 12</w:t>
      </w:r>
      <w:r w:rsidR="007F594C">
        <w:rPr>
          <w:rFonts w:ascii="Times New Roman" w:hAnsi="Times New Roman"/>
          <w:sz w:val="24"/>
          <w:szCs w:val="24"/>
        </w:rPr>
        <w:t xml:space="preserve"> percent</w:t>
      </w:r>
      <w:r w:rsidR="00F67EDF" w:rsidRPr="00314102">
        <w:rPr>
          <w:rFonts w:ascii="Times New Roman" w:hAnsi="Times New Roman"/>
          <w:sz w:val="24"/>
          <w:szCs w:val="24"/>
        </w:rPr>
        <w:t xml:space="preserve"> female for 2007</w:t>
      </w:r>
      <w:r w:rsidR="007F594C">
        <w:rPr>
          <w:rFonts w:ascii="Times New Roman" w:hAnsi="Times New Roman"/>
          <w:sz w:val="24"/>
          <w:szCs w:val="24"/>
        </w:rPr>
        <w:t>-</w:t>
      </w:r>
      <w:r w:rsidR="00F67EDF" w:rsidRPr="00314102">
        <w:rPr>
          <w:rFonts w:ascii="Times New Roman" w:hAnsi="Times New Roman"/>
          <w:sz w:val="24"/>
          <w:szCs w:val="24"/>
        </w:rPr>
        <w:t>2008 (Federal Republic  of Nigeria, Jigawa</w:t>
      </w:r>
      <w:r w:rsidR="00F67EDF">
        <w:rPr>
          <w:rFonts w:ascii="Times New Roman" w:hAnsi="Times New Roman"/>
          <w:sz w:val="24"/>
          <w:szCs w:val="24"/>
        </w:rPr>
        <w:t>, State Education Strategic Plan</w:t>
      </w:r>
      <w:r w:rsidR="00F67EDF" w:rsidRPr="00314102">
        <w:rPr>
          <w:rFonts w:ascii="Times New Roman" w:hAnsi="Times New Roman"/>
          <w:sz w:val="24"/>
          <w:szCs w:val="24"/>
        </w:rPr>
        <w:t>, 2008)</w:t>
      </w:r>
      <w:r w:rsidR="00F67EDF">
        <w:rPr>
          <w:rFonts w:ascii="Times New Roman" w:hAnsi="Times New Roman"/>
          <w:sz w:val="24"/>
          <w:szCs w:val="24"/>
        </w:rPr>
        <w:t xml:space="preserve">. The data on Nigeria </w:t>
      </w:r>
      <w:r w:rsidR="00F67EDF" w:rsidRPr="00314102">
        <w:rPr>
          <w:rFonts w:ascii="Times New Roman" w:hAnsi="Times New Roman"/>
          <w:sz w:val="24"/>
          <w:szCs w:val="24"/>
        </w:rPr>
        <w:t xml:space="preserve">indicates </w:t>
      </w:r>
      <w:r w:rsidR="00F67EDF">
        <w:rPr>
          <w:rFonts w:ascii="Times New Roman" w:hAnsi="Times New Roman"/>
          <w:sz w:val="24"/>
          <w:szCs w:val="24"/>
        </w:rPr>
        <w:t>that</w:t>
      </w:r>
      <w:r w:rsidR="00F67EDF" w:rsidRPr="00314102">
        <w:rPr>
          <w:rFonts w:ascii="Times New Roman" w:hAnsi="Times New Roman"/>
          <w:sz w:val="24"/>
          <w:szCs w:val="24"/>
        </w:rPr>
        <w:t xml:space="preserve"> the rates of </w:t>
      </w:r>
      <w:r w:rsidR="00F67EDF">
        <w:rPr>
          <w:rFonts w:ascii="Times New Roman" w:hAnsi="Times New Roman"/>
          <w:sz w:val="24"/>
          <w:szCs w:val="24"/>
        </w:rPr>
        <w:t>female</w:t>
      </w:r>
      <w:r w:rsidR="00F67EDF" w:rsidRPr="00314102">
        <w:rPr>
          <w:rFonts w:ascii="Times New Roman" w:hAnsi="Times New Roman"/>
          <w:sz w:val="24"/>
          <w:szCs w:val="24"/>
        </w:rPr>
        <w:t xml:space="preserve">s’ participation in higher education differ according to </w:t>
      </w:r>
      <w:r w:rsidR="00DB60D5">
        <w:rPr>
          <w:rFonts w:ascii="Times New Roman" w:hAnsi="Times New Roman"/>
          <w:sz w:val="24"/>
          <w:szCs w:val="24"/>
        </w:rPr>
        <w:t>s</w:t>
      </w:r>
      <w:r w:rsidR="00F67EDF" w:rsidRPr="00314102">
        <w:rPr>
          <w:rFonts w:ascii="Times New Roman" w:hAnsi="Times New Roman"/>
          <w:sz w:val="24"/>
          <w:szCs w:val="24"/>
        </w:rPr>
        <w:t xml:space="preserve">tates and regions with the Northern </w:t>
      </w:r>
      <w:r w:rsidR="00DB60D5">
        <w:rPr>
          <w:rFonts w:ascii="Times New Roman" w:hAnsi="Times New Roman"/>
          <w:sz w:val="24"/>
          <w:szCs w:val="24"/>
        </w:rPr>
        <w:t>s</w:t>
      </w:r>
      <w:r w:rsidR="00F67EDF" w:rsidRPr="00314102">
        <w:rPr>
          <w:rFonts w:ascii="Times New Roman" w:hAnsi="Times New Roman"/>
          <w:sz w:val="24"/>
          <w:szCs w:val="24"/>
        </w:rPr>
        <w:t xml:space="preserve">tates having lower rates than the Southern </w:t>
      </w:r>
      <w:r w:rsidR="00DB60D5">
        <w:rPr>
          <w:rFonts w:ascii="Times New Roman" w:hAnsi="Times New Roman"/>
          <w:sz w:val="24"/>
          <w:szCs w:val="24"/>
        </w:rPr>
        <w:t>s</w:t>
      </w:r>
      <w:r w:rsidR="00F67EDF" w:rsidRPr="00314102">
        <w:rPr>
          <w:rFonts w:ascii="Times New Roman" w:hAnsi="Times New Roman"/>
          <w:sz w:val="24"/>
          <w:szCs w:val="24"/>
        </w:rPr>
        <w:t xml:space="preserve">tates. Consequently, policy interventions to promote </w:t>
      </w:r>
      <w:r w:rsidR="00F67EDF">
        <w:rPr>
          <w:rFonts w:ascii="Times New Roman" w:hAnsi="Times New Roman"/>
          <w:sz w:val="24"/>
          <w:szCs w:val="24"/>
        </w:rPr>
        <w:t>female</w:t>
      </w:r>
      <w:r w:rsidR="00F67EDF" w:rsidRPr="00314102">
        <w:rPr>
          <w:rFonts w:ascii="Times New Roman" w:hAnsi="Times New Roman"/>
          <w:sz w:val="24"/>
          <w:szCs w:val="24"/>
        </w:rPr>
        <w:t xml:space="preserve">s’ access to education are more pronounced in the Northern </w:t>
      </w:r>
      <w:r w:rsidR="00DB60D5">
        <w:rPr>
          <w:rFonts w:ascii="Times New Roman" w:hAnsi="Times New Roman"/>
          <w:sz w:val="24"/>
          <w:szCs w:val="24"/>
        </w:rPr>
        <w:t>s</w:t>
      </w:r>
      <w:r w:rsidR="00F67EDF" w:rsidRPr="00314102">
        <w:rPr>
          <w:rFonts w:ascii="Times New Roman" w:hAnsi="Times New Roman"/>
          <w:sz w:val="24"/>
          <w:szCs w:val="24"/>
        </w:rPr>
        <w:t xml:space="preserve">tates than in the Southern </w:t>
      </w:r>
      <w:r w:rsidR="00DB60D5">
        <w:rPr>
          <w:rFonts w:ascii="Times New Roman" w:hAnsi="Times New Roman"/>
          <w:sz w:val="24"/>
          <w:szCs w:val="24"/>
        </w:rPr>
        <w:t>s</w:t>
      </w:r>
      <w:r w:rsidR="00F67EDF" w:rsidRPr="00314102">
        <w:rPr>
          <w:rFonts w:ascii="Times New Roman" w:hAnsi="Times New Roman"/>
          <w:sz w:val="24"/>
          <w:szCs w:val="24"/>
        </w:rPr>
        <w:t xml:space="preserve">tates. For instance, all the six target </w:t>
      </w:r>
      <w:r w:rsidR="00DB60D5">
        <w:rPr>
          <w:rFonts w:ascii="Times New Roman" w:hAnsi="Times New Roman"/>
          <w:sz w:val="24"/>
          <w:szCs w:val="24"/>
        </w:rPr>
        <w:t>s</w:t>
      </w:r>
      <w:r w:rsidR="00F67EDF" w:rsidRPr="00314102">
        <w:rPr>
          <w:rFonts w:ascii="Times New Roman" w:hAnsi="Times New Roman"/>
          <w:sz w:val="24"/>
          <w:szCs w:val="24"/>
        </w:rPr>
        <w:t xml:space="preserve">tates under UNICEF Africa </w:t>
      </w:r>
      <w:r w:rsidR="00F67EDF">
        <w:rPr>
          <w:rFonts w:ascii="Times New Roman" w:hAnsi="Times New Roman"/>
          <w:sz w:val="24"/>
          <w:szCs w:val="24"/>
        </w:rPr>
        <w:t>Female</w:t>
      </w:r>
      <w:r w:rsidR="00F67EDF" w:rsidRPr="00314102">
        <w:rPr>
          <w:rFonts w:ascii="Times New Roman" w:hAnsi="Times New Roman"/>
          <w:sz w:val="24"/>
          <w:szCs w:val="24"/>
        </w:rPr>
        <w:t xml:space="preserve">s’ Education Initiative (AGEI) are from the Northern zone. </w:t>
      </w:r>
    </w:p>
    <w:p w:rsidR="00F67EDF" w:rsidRDefault="00F67EDF" w:rsidP="00F67EDF">
      <w:pPr>
        <w:spacing w:line="360" w:lineRule="auto"/>
        <w:contextualSpacing/>
        <w:jc w:val="both"/>
        <w:rPr>
          <w:rFonts w:ascii="Times New Roman" w:hAnsi="Times New Roman"/>
          <w:sz w:val="24"/>
          <w:szCs w:val="24"/>
        </w:rPr>
      </w:pPr>
    </w:p>
    <w:p w:rsidR="00DB60D5" w:rsidRDefault="00F405AD" w:rsidP="00F67EDF">
      <w:pPr>
        <w:spacing w:line="360" w:lineRule="auto"/>
        <w:contextualSpacing/>
        <w:jc w:val="both"/>
        <w:rPr>
          <w:rFonts w:ascii="Times New Roman" w:hAnsi="Times New Roman"/>
          <w:bCs/>
          <w:sz w:val="24"/>
          <w:szCs w:val="24"/>
        </w:rPr>
      </w:pPr>
      <w:r>
        <w:rPr>
          <w:rFonts w:ascii="Times New Roman" w:hAnsi="Times New Roman"/>
          <w:bCs/>
          <w:sz w:val="24"/>
          <w:szCs w:val="24"/>
        </w:rPr>
        <w:t xml:space="preserve">      </w:t>
      </w:r>
      <w:r w:rsidR="00F67EDF">
        <w:rPr>
          <w:rFonts w:ascii="Times New Roman" w:hAnsi="Times New Roman"/>
          <w:bCs/>
          <w:sz w:val="24"/>
          <w:szCs w:val="24"/>
        </w:rPr>
        <w:t>The Nigeria Federal Ministry of Education (FME) notes that one of the challenges to access to tertiary education in Nigeria is inability of prospective entrants to possess the basic admission requirements of having credit in five subjects including English and Mathematics in the Senior Secondary Certificate Examination (SSCE) or its equivalent. The FME maintains, “Only 23.7</w:t>
      </w:r>
      <w:r w:rsidR="00DB60D5">
        <w:rPr>
          <w:rFonts w:ascii="Times New Roman" w:hAnsi="Times New Roman"/>
          <w:bCs/>
          <w:sz w:val="24"/>
          <w:szCs w:val="24"/>
        </w:rPr>
        <w:t xml:space="preserve"> </w:t>
      </w:r>
      <w:r w:rsidR="00DB60D5">
        <w:rPr>
          <w:rFonts w:ascii="Times New Roman" w:hAnsi="Times New Roman"/>
          <w:bCs/>
          <w:sz w:val="24"/>
          <w:szCs w:val="24"/>
        </w:rPr>
        <w:lastRenderedPageBreak/>
        <w:t>percent</w:t>
      </w:r>
      <w:r w:rsidR="00F67EDF">
        <w:rPr>
          <w:rFonts w:ascii="Times New Roman" w:hAnsi="Times New Roman"/>
          <w:bCs/>
          <w:sz w:val="24"/>
          <w:szCs w:val="24"/>
        </w:rPr>
        <w:t xml:space="preserve"> of candidates passed SSCE with credit in Mathematics and English between 2000 -2004” (Federal Ministry of Education, 2009: 56)</w:t>
      </w:r>
      <w:r w:rsidR="00DB60D5">
        <w:rPr>
          <w:rFonts w:ascii="Times New Roman" w:hAnsi="Times New Roman"/>
          <w:bCs/>
          <w:sz w:val="24"/>
          <w:szCs w:val="24"/>
        </w:rPr>
        <w:t>”</w:t>
      </w:r>
      <w:r w:rsidR="00F67EDF">
        <w:rPr>
          <w:rFonts w:ascii="Times New Roman" w:hAnsi="Times New Roman"/>
          <w:bCs/>
          <w:sz w:val="24"/>
          <w:szCs w:val="24"/>
        </w:rPr>
        <w:t xml:space="preserve">.  </w:t>
      </w:r>
    </w:p>
    <w:p w:rsidR="00F67EDF" w:rsidRDefault="00F405AD" w:rsidP="00F67EDF">
      <w:pPr>
        <w:spacing w:line="360" w:lineRule="auto"/>
        <w:contextualSpacing/>
        <w:jc w:val="both"/>
        <w:rPr>
          <w:rFonts w:ascii="Times New Roman" w:hAnsi="Times New Roman"/>
          <w:bCs/>
          <w:sz w:val="24"/>
          <w:szCs w:val="24"/>
        </w:rPr>
      </w:pPr>
      <w:r>
        <w:rPr>
          <w:rFonts w:ascii="Times New Roman" w:hAnsi="Times New Roman"/>
          <w:bCs/>
          <w:sz w:val="24"/>
          <w:szCs w:val="24"/>
        </w:rPr>
        <w:t xml:space="preserve">      </w:t>
      </w:r>
      <w:r w:rsidR="00F67EDF">
        <w:rPr>
          <w:rFonts w:ascii="Times New Roman" w:hAnsi="Times New Roman"/>
          <w:bCs/>
          <w:sz w:val="24"/>
          <w:szCs w:val="24"/>
        </w:rPr>
        <w:t>In Kenya, the</w:t>
      </w:r>
      <w:r w:rsidR="00F67EDF" w:rsidRPr="00392CF2">
        <w:rPr>
          <w:rFonts w:ascii="Times New Roman" w:hAnsi="Times New Roman"/>
          <w:bCs/>
          <w:sz w:val="24"/>
          <w:szCs w:val="24"/>
        </w:rPr>
        <w:t xml:space="preserve"> performance of </w:t>
      </w:r>
      <w:r w:rsidR="00F67EDF">
        <w:rPr>
          <w:rFonts w:ascii="Times New Roman" w:hAnsi="Times New Roman"/>
          <w:bCs/>
          <w:sz w:val="24"/>
          <w:szCs w:val="24"/>
        </w:rPr>
        <w:t>female</w:t>
      </w:r>
      <w:r w:rsidR="00F67EDF" w:rsidRPr="00392CF2">
        <w:rPr>
          <w:rFonts w:ascii="Times New Roman" w:hAnsi="Times New Roman"/>
          <w:bCs/>
          <w:sz w:val="24"/>
          <w:szCs w:val="24"/>
        </w:rPr>
        <w:t xml:space="preserve">s in </w:t>
      </w:r>
      <w:r w:rsidR="00F67EDF">
        <w:rPr>
          <w:rFonts w:ascii="Times New Roman" w:hAnsi="Times New Roman"/>
          <w:bCs/>
          <w:sz w:val="24"/>
          <w:szCs w:val="24"/>
        </w:rPr>
        <w:t>the secondary school</w:t>
      </w:r>
      <w:r w:rsidR="00DB60D5">
        <w:rPr>
          <w:rFonts w:ascii="Times New Roman" w:hAnsi="Times New Roman"/>
          <w:bCs/>
          <w:sz w:val="24"/>
          <w:szCs w:val="24"/>
        </w:rPr>
        <w:t>,</w:t>
      </w:r>
      <w:r w:rsidR="00F67EDF">
        <w:rPr>
          <w:rFonts w:ascii="Times New Roman" w:hAnsi="Times New Roman"/>
          <w:bCs/>
          <w:sz w:val="24"/>
          <w:szCs w:val="24"/>
        </w:rPr>
        <w:t xml:space="preserve"> </w:t>
      </w:r>
      <w:r w:rsidR="00F67EDF" w:rsidRPr="00392CF2">
        <w:rPr>
          <w:rFonts w:ascii="Times New Roman" w:hAnsi="Times New Roman"/>
          <w:bCs/>
          <w:sz w:val="24"/>
          <w:szCs w:val="24"/>
        </w:rPr>
        <w:t>Kenya Certificate of Secondary Education</w:t>
      </w:r>
      <w:r w:rsidR="00F67EDF">
        <w:rPr>
          <w:rFonts w:ascii="Times New Roman" w:hAnsi="Times New Roman"/>
          <w:bCs/>
          <w:sz w:val="24"/>
          <w:szCs w:val="24"/>
        </w:rPr>
        <w:t xml:space="preserve"> (</w:t>
      </w:r>
      <w:r w:rsidR="00F67EDF" w:rsidRPr="00392CF2">
        <w:rPr>
          <w:rFonts w:ascii="Times New Roman" w:hAnsi="Times New Roman"/>
          <w:bCs/>
          <w:sz w:val="24"/>
          <w:szCs w:val="24"/>
        </w:rPr>
        <w:t>KCSE</w:t>
      </w:r>
      <w:r w:rsidR="00F67EDF">
        <w:rPr>
          <w:rFonts w:ascii="Times New Roman" w:hAnsi="Times New Roman"/>
          <w:bCs/>
          <w:sz w:val="24"/>
          <w:szCs w:val="24"/>
        </w:rPr>
        <w:t>)</w:t>
      </w:r>
      <w:r w:rsidR="00DB60D5">
        <w:rPr>
          <w:rFonts w:ascii="Times New Roman" w:hAnsi="Times New Roman"/>
          <w:bCs/>
          <w:sz w:val="24"/>
          <w:szCs w:val="24"/>
        </w:rPr>
        <w:t>,</w:t>
      </w:r>
      <w:r w:rsidR="00F67EDF" w:rsidRPr="00392CF2">
        <w:rPr>
          <w:rFonts w:ascii="Times New Roman" w:hAnsi="Times New Roman"/>
          <w:bCs/>
          <w:sz w:val="24"/>
          <w:szCs w:val="24"/>
        </w:rPr>
        <w:t xml:space="preserve"> </w:t>
      </w:r>
      <w:r w:rsidR="00DB60D5">
        <w:rPr>
          <w:rFonts w:ascii="Times New Roman" w:hAnsi="Times New Roman"/>
          <w:bCs/>
          <w:sz w:val="24"/>
          <w:szCs w:val="24"/>
        </w:rPr>
        <w:t xml:space="preserve">form four examination </w:t>
      </w:r>
      <w:r w:rsidR="00F67EDF" w:rsidRPr="00392CF2">
        <w:rPr>
          <w:rFonts w:ascii="Times New Roman" w:hAnsi="Times New Roman"/>
          <w:bCs/>
          <w:sz w:val="24"/>
          <w:szCs w:val="24"/>
        </w:rPr>
        <w:t>is a key factor to their access to university education and admission to professional degree courses</w:t>
      </w:r>
      <w:r w:rsidR="00F67EDF">
        <w:rPr>
          <w:rFonts w:ascii="Times New Roman" w:hAnsi="Times New Roman"/>
          <w:bCs/>
          <w:sz w:val="24"/>
          <w:szCs w:val="24"/>
        </w:rPr>
        <w:t>. Data collected show</w:t>
      </w:r>
      <w:r w:rsidR="00F67EDF" w:rsidRPr="00392CF2">
        <w:rPr>
          <w:rFonts w:ascii="Times New Roman" w:hAnsi="Times New Roman"/>
          <w:bCs/>
          <w:sz w:val="24"/>
          <w:szCs w:val="24"/>
        </w:rPr>
        <w:t xml:space="preserve"> how performance in the KCSE</w:t>
      </w:r>
      <w:r w:rsidR="00F67EDF" w:rsidRPr="00392CF2" w:rsidDel="00F17049">
        <w:rPr>
          <w:rFonts w:ascii="Times New Roman" w:hAnsi="Times New Roman"/>
          <w:bCs/>
          <w:sz w:val="24"/>
          <w:szCs w:val="24"/>
        </w:rPr>
        <w:t xml:space="preserve"> </w:t>
      </w:r>
      <w:r w:rsidR="00F67EDF" w:rsidRPr="00392CF2">
        <w:rPr>
          <w:rFonts w:ascii="Times New Roman" w:hAnsi="Times New Roman"/>
          <w:bCs/>
          <w:sz w:val="24"/>
          <w:szCs w:val="24"/>
        </w:rPr>
        <w:t xml:space="preserve">examination continues to </w:t>
      </w:r>
      <w:r w:rsidR="00DB60D5">
        <w:rPr>
          <w:rFonts w:ascii="Times New Roman" w:hAnsi="Times New Roman"/>
          <w:bCs/>
          <w:sz w:val="24"/>
          <w:szCs w:val="24"/>
        </w:rPr>
        <w:t>adversely impact</w:t>
      </w:r>
      <w:r w:rsidR="00F67EDF" w:rsidRPr="00392CF2">
        <w:rPr>
          <w:rFonts w:ascii="Times New Roman" w:hAnsi="Times New Roman"/>
          <w:bCs/>
          <w:sz w:val="24"/>
          <w:szCs w:val="24"/>
        </w:rPr>
        <w:t xml:space="preserve"> the number of </w:t>
      </w:r>
      <w:r w:rsidR="00F67EDF">
        <w:rPr>
          <w:rFonts w:ascii="Times New Roman" w:hAnsi="Times New Roman"/>
          <w:bCs/>
          <w:sz w:val="24"/>
          <w:szCs w:val="24"/>
        </w:rPr>
        <w:t>female</w:t>
      </w:r>
      <w:r w:rsidR="00F67EDF" w:rsidRPr="00392CF2">
        <w:rPr>
          <w:rFonts w:ascii="Times New Roman" w:hAnsi="Times New Roman"/>
          <w:bCs/>
          <w:sz w:val="24"/>
          <w:szCs w:val="24"/>
        </w:rPr>
        <w:t xml:space="preserve">s joining universities and </w:t>
      </w:r>
      <w:r w:rsidR="00F67EDF">
        <w:rPr>
          <w:rFonts w:ascii="Times New Roman" w:hAnsi="Times New Roman"/>
          <w:bCs/>
          <w:sz w:val="24"/>
          <w:szCs w:val="24"/>
        </w:rPr>
        <w:t>their admission into</w:t>
      </w:r>
      <w:r w:rsidR="00F67EDF" w:rsidRPr="00392CF2">
        <w:rPr>
          <w:rFonts w:ascii="Times New Roman" w:hAnsi="Times New Roman"/>
          <w:bCs/>
          <w:sz w:val="24"/>
          <w:szCs w:val="24"/>
        </w:rPr>
        <w:t xml:space="preserve"> various degree programs</w:t>
      </w:r>
      <w:r w:rsidR="00F67EDF">
        <w:rPr>
          <w:rFonts w:ascii="Times New Roman" w:hAnsi="Times New Roman"/>
          <w:bCs/>
          <w:sz w:val="24"/>
          <w:szCs w:val="24"/>
        </w:rPr>
        <w:t xml:space="preserve">. The insistence of universities </w:t>
      </w:r>
      <w:r w:rsidR="00F67EDF" w:rsidRPr="00392CF2">
        <w:rPr>
          <w:rFonts w:ascii="Times New Roman" w:hAnsi="Times New Roman"/>
          <w:bCs/>
          <w:sz w:val="24"/>
          <w:szCs w:val="24"/>
        </w:rPr>
        <w:t xml:space="preserve">in using KCSE performance as the singular indicator/determinant for admission accentuates disparities in access between male and female students. </w:t>
      </w:r>
      <w:r w:rsidR="00F67EDF">
        <w:rPr>
          <w:rFonts w:ascii="Times New Roman" w:hAnsi="Times New Roman"/>
          <w:bCs/>
          <w:sz w:val="24"/>
          <w:szCs w:val="24"/>
        </w:rPr>
        <w:t xml:space="preserve">Table </w:t>
      </w:r>
      <w:r w:rsidR="00DB60D5">
        <w:rPr>
          <w:rFonts w:ascii="Times New Roman" w:hAnsi="Times New Roman"/>
          <w:bCs/>
          <w:sz w:val="24"/>
          <w:szCs w:val="24"/>
        </w:rPr>
        <w:t>5.</w:t>
      </w:r>
      <w:r w:rsidR="00F67EDF">
        <w:rPr>
          <w:rFonts w:ascii="Times New Roman" w:hAnsi="Times New Roman"/>
          <w:bCs/>
          <w:sz w:val="24"/>
          <w:szCs w:val="24"/>
        </w:rPr>
        <w:t xml:space="preserve">2 below summarizes trends from Kenya related to females’ performance in the qualifying examination within a four-year period (2004-2008). Analysis of the data corroborates that of Morley </w:t>
      </w:r>
      <w:r w:rsidR="00F67EDF" w:rsidRPr="005467DA">
        <w:rPr>
          <w:rFonts w:ascii="Times New Roman" w:hAnsi="Times New Roman"/>
          <w:bCs/>
          <w:i/>
          <w:sz w:val="24"/>
          <w:szCs w:val="24"/>
        </w:rPr>
        <w:t>et al</w:t>
      </w:r>
      <w:r w:rsidR="00F67EDF">
        <w:rPr>
          <w:rFonts w:ascii="Times New Roman" w:hAnsi="Times New Roman"/>
          <w:bCs/>
          <w:sz w:val="24"/>
          <w:szCs w:val="24"/>
        </w:rPr>
        <w:t xml:space="preserve">. (2006), with regard to the percentage of female students who attain qualifying grades for admission to the universities.  </w:t>
      </w:r>
    </w:p>
    <w:p w:rsidR="00F67EDF" w:rsidRDefault="00F67EDF" w:rsidP="00F67EDF">
      <w:pPr>
        <w:spacing w:line="360" w:lineRule="auto"/>
        <w:contextualSpacing/>
        <w:jc w:val="both"/>
        <w:rPr>
          <w:rFonts w:ascii="Times New Roman" w:hAnsi="Times New Roman"/>
          <w:bCs/>
          <w:sz w:val="24"/>
          <w:szCs w:val="24"/>
        </w:rPr>
      </w:pPr>
    </w:p>
    <w:p w:rsidR="00F67EDF" w:rsidRDefault="00F67EDF" w:rsidP="00F67EDF">
      <w:pPr>
        <w:spacing w:line="240" w:lineRule="auto"/>
        <w:contextualSpacing/>
        <w:jc w:val="both"/>
        <w:rPr>
          <w:rFonts w:ascii="Times New Roman" w:hAnsi="Times New Roman"/>
          <w:bCs/>
          <w:sz w:val="24"/>
          <w:szCs w:val="24"/>
        </w:rPr>
      </w:pPr>
    </w:p>
    <w:p w:rsidR="00F67EDF" w:rsidRDefault="00DB60D5" w:rsidP="00F67EDF">
      <w:pPr>
        <w:spacing w:line="240" w:lineRule="auto"/>
        <w:contextualSpacing/>
        <w:jc w:val="both"/>
        <w:rPr>
          <w:rFonts w:ascii="Times New Roman" w:hAnsi="Times New Roman"/>
          <w:sz w:val="24"/>
          <w:szCs w:val="24"/>
        </w:rPr>
      </w:pPr>
      <w:r w:rsidRPr="00217D38">
        <w:rPr>
          <w:rFonts w:ascii="Times New Roman" w:hAnsi="Times New Roman"/>
          <w:sz w:val="24"/>
          <w:szCs w:val="24"/>
        </w:rPr>
        <w:t>TABLE 5.2:</w:t>
      </w:r>
      <w:r w:rsidRPr="00392CF2">
        <w:rPr>
          <w:rFonts w:ascii="Times New Roman" w:hAnsi="Times New Roman"/>
          <w:sz w:val="24"/>
          <w:szCs w:val="24"/>
        </w:rPr>
        <w:t xml:space="preserve"> K</w:t>
      </w:r>
      <w:r>
        <w:rPr>
          <w:rFonts w:ascii="Times New Roman" w:hAnsi="Times New Roman"/>
          <w:sz w:val="24"/>
          <w:szCs w:val="24"/>
        </w:rPr>
        <w:t xml:space="preserve">ENYA </w:t>
      </w:r>
      <w:r w:rsidRPr="00392CF2">
        <w:rPr>
          <w:rFonts w:ascii="Times New Roman" w:hAnsi="Times New Roman"/>
          <w:sz w:val="24"/>
          <w:szCs w:val="24"/>
        </w:rPr>
        <w:t>C</w:t>
      </w:r>
      <w:r>
        <w:rPr>
          <w:rFonts w:ascii="Times New Roman" w:hAnsi="Times New Roman"/>
          <w:sz w:val="24"/>
          <w:szCs w:val="24"/>
        </w:rPr>
        <w:t xml:space="preserve">ERTIFICATE OF </w:t>
      </w:r>
      <w:r w:rsidRPr="00392CF2">
        <w:rPr>
          <w:rFonts w:ascii="Times New Roman" w:hAnsi="Times New Roman"/>
          <w:sz w:val="24"/>
          <w:szCs w:val="24"/>
        </w:rPr>
        <w:t>S</w:t>
      </w:r>
      <w:r>
        <w:rPr>
          <w:rFonts w:ascii="Times New Roman" w:hAnsi="Times New Roman"/>
          <w:sz w:val="24"/>
          <w:szCs w:val="24"/>
        </w:rPr>
        <w:t xml:space="preserve">ECONDARY </w:t>
      </w:r>
      <w:r w:rsidRPr="00392CF2">
        <w:rPr>
          <w:rFonts w:ascii="Times New Roman" w:hAnsi="Times New Roman"/>
          <w:sz w:val="24"/>
          <w:szCs w:val="24"/>
        </w:rPr>
        <w:t>E</w:t>
      </w:r>
      <w:r>
        <w:rPr>
          <w:rFonts w:ascii="Times New Roman" w:hAnsi="Times New Roman"/>
          <w:sz w:val="24"/>
          <w:szCs w:val="24"/>
        </w:rPr>
        <w:t>XAMINATION</w:t>
      </w:r>
      <w:r w:rsidRPr="00392CF2">
        <w:rPr>
          <w:rFonts w:ascii="Times New Roman" w:hAnsi="Times New Roman"/>
          <w:sz w:val="24"/>
          <w:szCs w:val="24"/>
        </w:rPr>
        <w:t xml:space="preserve"> CANDIDATES WITH GRADE C+ AND ABOVE</w:t>
      </w:r>
    </w:p>
    <w:p w:rsidR="00DB60D5" w:rsidRPr="00556577" w:rsidRDefault="00DB60D5" w:rsidP="00F67EDF">
      <w:pPr>
        <w:spacing w:line="240" w:lineRule="auto"/>
        <w:contextualSpacing/>
        <w:jc w:val="both"/>
        <w:rPr>
          <w:rFonts w:ascii="Times New Roman" w:hAnsi="Times New Roman"/>
          <w:bCs/>
          <w:sz w:val="24"/>
          <w:szCs w:val="24"/>
        </w:rPr>
      </w:pPr>
    </w:p>
    <w:tbl>
      <w:tblPr>
        <w:tblpPr w:leftFromText="180" w:rightFromText="180" w:vertAnchor="text" w:tblpY="1"/>
        <w:tblOverlap w:val="neve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800"/>
        <w:gridCol w:w="930"/>
        <w:gridCol w:w="810"/>
        <w:gridCol w:w="990"/>
        <w:gridCol w:w="990"/>
        <w:gridCol w:w="900"/>
        <w:gridCol w:w="900"/>
      </w:tblGrid>
      <w:tr w:rsidR="00F67EDF" w:rsidRPr="00C13AFD" w:rsidTr="0074580D">
        <w:tc>
          <w:tcPr>
            <w:tcW w:w="708"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Year</w:t>
            </w:r>
          </w:p>
        </w:tc>
        <w:tc>
          <w:tcPr>
            <w:tcW w:w="180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Candidature</w:t>
            </w:r>
          </w:p>
        </w:tc>
        <w:tc>
          <w:tcPr>
            <w:tcW w:w="93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A</w:t>
            </w:r>
          </w:p>
        </w:tc>
        <w:tc>
          <w:tcPr>
            <w:tcW w:w="81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A-</w:t>
            </w:r>
          </w:p>
        </w:tc>
        <w:tc>
          <w:tcPr>
            <w:tcW w:w="99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B+</w:t>
            </w:r>
          </w:p>
        </w:tc>
        <w:tc>
          <w:tcPr>
            <w:tcW w:w="99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B</w:t>
            </w:r>
          </w:p>
        </w:tc>
        <w:tc>
          <w:tcPr>
            <w:tcW w:w="90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B-</w:t>
            </w:r>
          </w:p>
        </w:tc>
        <w:tc>
          <w:tcPr>
            <w:tcW w:w="90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C+</w:t>
            </w:r>
          </w:p>
        </w:tc>
      </w:tr>
      <w:tr w:rsidR="00F67EDF" w:rsidRPr="00C13AFD" w:rsidTr="0074580D">
        <w:trPr>
          <w:cantSplit/>
        </w:trPr>
        <w:tc>
          <w:tcPr>
            <w:tcW w:w="708" w:type="dxa"/>
            <w:vMerge w:val="restart"/>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2004</w:t>
            </w:r>
          </w:p>
        </w:tc>
        <w:tc>
          <w:tcPr>
            <w:tcW w:w="180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Total No of Candidates Scoring Grade</w:t>
            </w:r>
          </w:p>
        </w:tc>
        <w:tc>
          <w:tcPr>
            <w:tcW w:w="93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544</w:t>
            </w:r>
          </w:p>
        </w:tc>
        <w:tc>
          <w:tcPr>
            <w:tcW w:w="81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3,025</w:t>
            </w:r>
          </w:p>
        </w:tc>
        <w:tc>
          <w:tcPr>
            <w:tcW w:w="99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6,660</w:t>
            </w:r>
          </w:p>
        </w:tc>
        <w:tc>
          <w:tcPr>
            <w:tcW w:w="99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10,764</w:t>
            </w:r>
          </w:p>
        </w:tc>
        <w:tc>
          <w:tcPr>
            <w:tcW w:w="90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15,859</w:t>
            </w:r>
          </w:p>
        </w:tc>
        <w:tc>
          <w:tcPr>
            <w:tcW w:w="90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21,369</w:t>
            </w:r>
          </w:p>
        </w:tc>
      </w:tr>
      <w:tr w:rsidR="00F67EDF" w:rsidRPr="00C13AFD" w:rsidTr="0074580D">
        <w:trPr>
          <w:cantSplit/>
        </w:trPr>
        <w:tc>
          <w:tcPr>
            <w:tcW w:w="708" w:type="dxa"/>
            <w:vMerge/>
          </w:tcPr>
          <w:p w:rsidR="00F67EDF" w:rsidRPr="00C13AFD" w:rsidRDefault="00F67EDF" w:rsidP="0074580D">
            <w:pPr>
              <w:spacing w:line="240" w:lineRule="auto"/>
              <w:contextualSpacing/>
              <w:jc w:val="both"/>
              <w:rPr>
                <w:rFonts w:ascii="Times New Roman" w:hAnsi="Times New Roman"/>
                <w:sz w:val="20"/>
                <w:szCs w:val="20"/>
              </w:rPr>
            </w:pPr>
          </w:p>
        </w:tc>
        <w:tc>
          <w:tcPr>
            <w:tcW w:w="180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 of Female</w:t>
            </w:r>
          </w:p>
        </w:tc>
        <w:tc>
          <w:tcPr>
            <w:tcW w:w="93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34.5</w:t>
            </w:r>
          </w:p>
        </w:tc>
        <w:tc>
          <w:tcPr>
            <w:tcW w:w="81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29.65</w:t>
            </w:r>
          </w:p>
        </w:tc>
        <w:tc>
          <w:tcPr>
            <w:tcW w:w="99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32.0</w:t>
            </w:r>
          </w:p>
        </w:tc>
        <w:tc>
          <w:tcPr>
            <w:tcW w:w="99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35.62</w:t>
            </w:r>
          </w:p>
        </w:tc>
        <w:tc>
          <w:tcPr>
            <w:tcW w:w="90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38.9</w:t>
            </w:r>
          </w:p>
        </w:tc>
        <w:tc>
          <w:tcPr>
            <w:tcW w:w="90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42.3</w:t>
            </w:r>
          </w:p>
        </w:tc>
      </w:tr>
      <w:tr w:rsidR="00F67EDF" w:rsidRPr="00C13AFD" w:rsidTr="0074580D">
        <w:trPr>
          <w:cantSplit/>
        </w:trPr>
        <w:tc>
          <w:tcPr>
            <w:tcW w:w="708" w:type="dxa"/>
            <w:vMerge w:val="restart"/>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2005</w:t>
            </w:r>
          </w:p>
        </w:tc>
        <w:tc>
          <w:tcPr>
            <w:tcW w:w="180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Total No of Candidates Scoring Grade</w:t>
            </w:r>
          </w:p>
        </w:tc>
        <w:tc>
          <w:tcPr>
            <w:tcW w:w="93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611</w:t>
            </w:r>
          </w:p>
        </w:tc>
        <w:tc>
          <w:tcPr>
            <w:tcW w:w="81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3,947</w:t>
            </w:r>
          </w:p>
        </w:tc>
        <w:tc>
          <w:tcPr>
            <w:tcW w:w="99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7,923</w:t>
            </w:r>
          </w:p>
        </w:tc>
        <w:tc>
          <w:tcPr>
            <w:tcW w:w="99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12,475</w:t>
            </w:r>
          </w:p>
        </w:tc>
        <w:tc>
          <w:tcPr>
            <w:tcW w:w="90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17,712</w:t>
            </w:r>
          </w:p>
        </w:tc>
        <w:tc>
          <w:tcPr>
            <w:tcW w:w="900" w:type="dxa"/>
            <w:tcBorders>
              <w:bottom w:val="single" w:sz="4" w:space="0" w:color="auto"/>
            </w:tcBorders>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25,362</w:t>
            </w:r>
          </w:p>
        </w:tc>
      </w:tr>
      <w:tr w:rsidR="00F67EDF" w:rsidRPr="00C13AFD" w:rsidTr="0074580D">
        <w:trPr>
          <w:cantSplit/>
        </w:trPr>
        <w:tc>
          <w:tcPr>
            <w:tcW w:w="708" w:type="dxa"/>
            <w:vMerge/>
          </w:tcPr>
          <w:p w:rsidR="00F67EDF" w:rsidRPr="00C13AFD" w:rsidRDefault="00F67EDF" w:rsidP="0074580D">
            <w:pPr>
              <w:spacing w:line="240" w:lineRule="auto"/>
              <w:contextualSpacing/>
              <w:jc w:val="both"/>
              <w:rPr>
                <w:rFonts w:ascii="Times New Roman" w:hAnsi="Times New Roman"/>
                <w:sz w:val="20"/>
                <w:szCs w:val="20"/>
              </w:rPr>
            </w:pPr>
          </w:p>
        </w:tc>
        <w:tc>
          <w:tcPr>
            <w:tcW w:w="180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 of Female</w:t>
            </w:r>
          </w:p>
        </w:tc>
        <w:tc>
          <w:tcPr>
            <w:tcW w:w="93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29.29</w:t>
            </w:r>
          </w:p>
        </w:tc>
        <w:tc>
          <w:tcPr>
            <w:tcW w:w="81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28.63</w:t>
            </w:r>
          </w:p>
        </w:tc>
        <w:tc>
          <w:tcPr>
            <w:tcW w:w="99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29.72</w:t>
            </w:r>
          </w:p>
        </w:tc>
        <w:tc>
          <w:tcPr>
            <w:tcW w:w="99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34.81</w:t>
            </w:r>
          </w:p>
        </w:tc>
        <w:tc>
          <w:tcPr>
            <w:tcW w:w="90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39.06</w:t>
            </w:r>
          </w:p>
        </w:tc>
        <w:tc>
          <w:tcPr>
            <w:tcW w:w="900" w:type="dxa"/>
            <w:shd w:val="clear" w:color="auto" w:fill="C0C0C0"/>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42.6</w:t>
            </w:r>
          </w:p>
        </w:tc>
      </w:tr>
      <w:tr w:rsidR="00F67EDF" w:rsidRPr="00C13AFD" w:rsidTr="0074580D">
        <w:trPr>
          <w:cantSplit/>
        </w:trPr>
        <w:tc>
          <w:tcPr>
            <w:tcW w:w="708" w:type="dxa"/>
            <w:vMerge w:val="restart"/>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2006</w:t>
            </w:r>
          </w:p>
        </w:tc>
        <w:tc>
          <w:tcPr>
            <w:tcW w:w="180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Total No of  candidates scoring grade</w:t>
            </w:r>
          </w:p>
        </w:tc>
        <w:tc>
          <w:tcPr>
            <w:tcW w:w="93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1165</w:t>
            </w:r>
          </w:p>
        </w:tc>
        <w:tc>
          <w:tcPr>
            <w:tcW w:w="81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4280</w:t>
            </w:r>
          </w:p>
        </w:tc>
        <w:tc>
          <w:tcPr>
            <w:tcW w:w="99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7369</w:t>
            </w:r>
          </w:p>
        </w:tc>
        <w:tc>
          <w:tcPr>
            <w:tcW w:w="99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11,217</w:t>
            </w:r>
          </w:p>
        </w:tc>
        <w:tc>
          <w:tcPr>
            <w:tcW w:w="90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16,102</w:t>
            </w:r>
          </w:p>
        </w:tc>
        <w:tc>
          <w:tcPr>
            <w:tcW w:w="90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22,971</w:t>
            </w:r>
          </w:p>
        </w:tc>
      </w:tr>
      <w:tr w:rsidR="00F67EDF" w:rsidRPr="00C13AFD" w:rsidTr="0074580D">
        <w:trPr>
          <w:cantSplit/>
        </w:trPr>
        <w:tc>
          <w:tcPr>
            <w:tcW w:w="708" w:type="dxa"/>
            <w:vMerge/>
          </w:tcPr>
          <w:p w:rsidR="00F67EDF" w:rsidRPr="00C13AFD" w:rsidRDefault="00F67EDF" w:rsidP="0074580D">
            <w:pPr>
              <w:spacing w:line="240" w:lineRule="auto"/>
              <w:contextualSpacing/>
              <w:jc w:val="both"/>
              <w:rPr>
                <w:rFonts w:ascii="Times New Roman" w:hAnsi="Times New Roman"/>
                <w:sz w:val="20"/>
                <w:szCs w:val="20"/>
              </w:rPr>
            </w:pPr>
          </w:p>
        </w:tc>
        <w:tc>
          <w:tcPr>
            <w:tcW w:w="180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 of female</w:t>
            </w:r>
          </w:p>
        </w:tc>
        <w:tc>
          <w:tcPr>
            <w:tcW w:w="93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33.9</w:t>
            </w:r>
          </w:p>
        </w:tc>
        <w:tc>
          <w:tcPr>
            <w:tcW w:w="81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32.1</w:t>
            </w:r>
          </w:p>
        </w:tc>
        <w:tc>
          <w:tcPr>
            <w:tcW w:w="99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34.2</w:t>
            </w:r>
          </w:p>
        </w:tc>
        <w:tc>
          <w:tcPr>
            <w:tcW w:w="99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37.1</w:t>
            </w:r>
          </w:p>
        </w:tc>
        <w:tc>
          <w:tcPr>
            <w:tcW w:w="90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40.0</w:t>
            </w:r>
          </w:p>
        </w:tc>
        <w:tc>
          <w:tcPr>
            <w:tcW w:w="90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43.3</w:t>
            </w:r>
          </w:p>
        </w:tc>
      </w:tr>
      <w:tr w:rsidR="00F67EDF" w:rsidRPr="00C13AFD" w:rsidTr="0074580D">
        <w:trPr>
          <w:cantSplit/>
        </w:trPr>
        <w:tc>
          <w:tcPr>
            <w:tcW w:w="708" w:type="dxa"/>
            <w:vMerge w:val="restart"/>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2007</w:t>
            </w:r>
          </w:p>
        </w:tc>
        <w:tc>
          <w:tcPr>
            <w:tcW w:w="180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Total No  of candidates scoring grade</w:t>
            </w:r>
          </w:p>
        </w:tc>
        <w:tc>
          <w:tcPr>
            <w:tcW w:w="93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1157</w:t>
            </w:r>
          </w:p>
        </w:tc>
        <w:tc>
          <w:tcPr>
            <w:tcW w:w="81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5094</w:t>
            </w:r>
          </w:p>
        </w:tc>
        <w:tc>
          <w:tcPr>
            <w:tcW w:w="99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9129</w:t>
            </w:r>
          </w:p>
        </w:tc>
        <w:tc>
          <w:tcPr>
            <w:tcW w:w="99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14,363</w:t>
            </w:r>
          </w:p>
        </w:tc>
        <w:tc>
          <w:tcPr>
            <w:tcW w:w="90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21,875</w:t>
            </w:r>
          </w:p>
        </w:tc>
        <w:tc>
          <w:tcPr>
            <w:tcW w:w="90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30,516</w:t>
            </w:r>
          </w:p>
        </w:tc>
      </w:tr>
      <w:tr w:rsidR="00F67EDF" w:rsidRPr="00C13AFD" w:rsidTr="0074580D">
        <w:trPr>
          <w:cantSplit/>
        </w:trPr>
        <w:tc>
          <w:tcPr>
            <w:tcW w:w="708" w:type="dxa"/>
            <w:vMerge/>
          </w:tcPr>
          <w:p w:rsidR="00F67EDF" w:rsidRPr="00C13AFD" w:rsidRDefault="00F67EDF" w:rsidP="0074580D">
            <w:pPr>
              <w:spacing w:line="240" w:lineRule="auto"/>
              <w:contextualSpacing/>
              <w:jc w:val="both"/>
              <w:rPr>
                <w:rFonts w:ascii="Times New Roman" w:hAnsi="Times New Roman"/>
                <w:sz w:val="20"/>
                <w:szCs w:val="20"/>
              </w:rPr>
            </w:pPr>
          </w:p>
        </w:tc>
        <w:tc>
          <w:tcPr>
            <w:tcW w:w="180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 of female</w:t>
            </w:r>
          </w:p>
        </w:tc>
        <w:tc>
          <w:tcPr>
            <w:tcW w:w="93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30.3</w:t>
            </w:r>
          </w:p>
        </w:tc>
        <w:tc>
          <w:tcPr>
            <w:tcW w:w="81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24.1</w:t>
            </w:r>
          </w:p>
        </w:tc>
        <w:tc>
          <w:tcPr>
            <w:tcW w:w="99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28.0</w:t>
            </w:r>
          </w:p>
        </w:tc>
        <w:tc>
          <w:tcPr>
            <w:tcW w:w="99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33.5</w:t>
            </w:r>
          </w:p>
        </w:tc>
        <w:tc>
          <w:tcPr>
            <w:tcW w:w="90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39.5</w:t>
            </w:r>
          </w:p>
        </w:tc>
        <w:tc>
          <w:tcPr>
            <w:tcW w:w="90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43.4</w:t>
            </w:r>
          </w:p>
        </w:tc>
      </w:tr>
      <w:tr w:rsidR="00F67EDF" w:rsidRPr="00C13AFD" w:rsidTr="0074580D">
        <w:trPr>
          <w:cantSplit/>
        </w:trPr>
        <w:tc>
          <w:tcPr>
            <w:tcW w:w="708" w:type="dxa"/>
            <w:vMerge w:val="restart"/>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2008</w:t>
            </w:r>
          </w:p>
        </w:tc>
        <w:tc>
          <w:tcPr>
            <w:tcW w:w="180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Total No  of candidates scoring grade</w:t>
            </w:r>
          </w:p>
        </w:tc>
        <w:tc>
          <w:tcPr>
            <w:tcW w:w="93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817</w:t>
            </w:r>
          </w:p>
        </w:tc>
        <w:tc>
          <w:tcPr>
            <w:tcW w:w="81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5161</w:t>
            </w:r>
          </w:p>
        </w:tc>
        <w:tc>
          <w:tcPr>
            <w:tcW w:w="99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9365</w:t>
            </w:r>
          </w:p>
        </w:tc>
        <w:tc>
          <w:tcPr>
            <w:tcW w:w="99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13,369</w:t>
            </w:r>
          </w:p>
        </w:tc>
        <w:tc>
          <w:tcPr>
            <w:tcW w:w="90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18,423</w:t>
            </w:r>
          </w:p>
        </w:tc>
        <w:tc>
          <w:tcPr>
            <w:tcW w:w="900" w:type="dxa"/>
            <w:shd w:val="clear" w:color="auto" w:fill="FFFFF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25,514</w:t>
            </w:r>
          </w:p>
        </w:tc>
      </w:tr>
      <w:tr w:rsidR="00F67EDF" w:rsidRPr="00C13AFD" w:rsidTr="0074580D">
        <w:trPr>
          <w:cantSplit/>
        </w:trPr>
        <w:tc>
          <w:tcPr>
            <w:tcW w:w="708" w:type="dxa"/>
            <w:vMerge/>
          </w:tcPr>
          <w:p w:rsidR="00F67EDF" w:rsidRPr="00C13AFD" w:rsidRDefault="00F67EDF" w:rsidP="0074580D">
            <w:pPr>
              <w:spacing w:line="240" w:lineRule="auto"/>
              <w:contextualSpacing/>
              <w:jc w:val="both"/>
              <w:rPr>
                <w:rFonts w:ascii="Times New Roman" w:hAnsi="Times New Roman"/>
                <w:sz w:val="20"/>
                <w:szCs w:val="20"/>
              </w:rPr>
            </w:pPr>
          </w:p>
        </w:tc>
        <w:tc>
          <w:tcPr>
            <w:tcW w:w="180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 of female</w:t>
            </w:r>
          </w:p>
        </w:tc>
        <w:tc>
          <w:tcPr>
            <w:tcW w:w="93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40.1</w:t>
            </w:r>
          </w:p>
        </w:tc>
        <w:tc>
          <w:tcPr>
            <w:tcW w:w="81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33.8</w:t>
            </w:r>
          </w:p>
        </w:tc>
        <w:tc>
          <w:tcPr>
            <w:tcW w:w="99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34.4</w:t>
            </w:r>
          </w:p>
        </w:tc>
        <w:tc>
          <w:tcPr>
            <w:tcW w:w="99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35.8</w:t>
            </w:r>
          </w:p>
        </w:tc>
        <w:tc>
          <w:tcPr>
            <w:tcW w:w="90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40.1</w:t>
            </w:r>
          </w:p>
        </w:tc>
        <w:tc>
          <w:tcPr>
            <w:tcW w:w="900" w:type="dxa"/>
            <w:shd w:val="clear" w:color="auto" w:fill="BFBFBF"/>
          </w:tcPr>
          <w:p w:rsidR="00F67EDF" w:rsidRPr="00C13AFD" w:rsidRDefault="00F67EDF" w:rsidP="0074580D">
            <w:pPr>
              <w:spacing w:line="240" w:lineRule="auto"/>
              <w:contextualSpacing/>
              <w:jc w:val="both"/>
              <w:rPr>
                <w:rFonts w:ascii="Times New Roman" w:hAnsi="Times New Roman"/>
                <w:sz w:val="20"/>
                <w:szCs w:val="20"/>
              </w:rPr>
            </w:pPr>
            <w:r w:rsidRPr="00C13AFD">
              <w:rPr>
                <w:rFonts w:ascii="Times New Roman" w:hAnsi="Times New Roman"/>
                <w:sz w:val="20"/>
                <w:szCs w:val="20"/>
              </w:rPr>
              <w:t>42.5</w:t>
            </w:r>
          </w:p>
        </w:tc>
      </w:tr>
    </w:tbl>
    <w:p w:rsidR="00F67EDF" w:rsidRPr="00C13AFD" w:rsidRDefault="00F67EDF" w:rsidP="00F67EDF">
      <w:pPr>
        <w:spacing w:line="240" w:lineRule="auto"/>
        <w:contextualSpacing/>
        <w:jc w:val="both"/>
        <w:rPr>
          <w:rFonts w:ascii="Times New Roman" w:hAnsi="Times New Roman"/>
          <w:sz w:val="20"/>
          <w:szCs w:val="20"/>
        </w:rPr>
      </w:pPr>
    </w:p>
    <w:p w:rsidR="00F67EDF" w:rsidRPr="00C13AFD" w:rsidRDefault="00F67EDF" w:rsidP="00F67EDF">
      <w:pPr>
        <w:spacing w:line="240" w:lineRule="auto"/>
        <w:contextualSpacing/>
        <w:jc w:val="both"/>
        <w:rPr>
          <w:rFonts w:ascii="Times New Roman" w:hAnsi="Times New Roman"/>
          <w:sz w:val="20"/>
          <w:szCs w:val="20"/>
        </w:rPr>
      </w:pPr>
    </w:p>
    <w:p w:rsidR="00F67EDF" w:rsidRPr="00C13AFD" w:rsidRDefault="00F67EDF" w:rsidP="00F67EDF">
      <w:pPr>
        <w:spacing w:line="240" w:lineRule="auto"/>
        <w:contextualSpacing/>
        <w:jc w:val="both"/>
        <w:rPr>
          <w:rFonts w:ascii="Times New Roman" w:hAnsi="Times New Roman"/>
          <w:sz w:val="20"/>
          <w:szCs w:val="20"/>
        </w:rPr>
      </w:pPr>
    </w:p>
    <w:p w:rsidR="00F67EDF" w:rsidRPr="00C13AFD" w:rsidRDefault="00F67EDF" w:rsidP="00F67EDF">
      <w:pPr>
        <w:spacing w:line="240" w:lineRule="auto"/>
        <w:contextualSpacing/>
        <w:jc w:val="both"/>
        <w:rPr>
          <w:rFonts w:ascii="Times New Roman" w:hAnsi="Times New Roman"/>
          <w:sz w:val="20"/>
          <w:szCs w:val="20"/>
        </w:rPr>
      </w:pPr>
    </w:p>
    <w:p w:rsidR="00F67EDF" w:rsidRPr="00C13AFD" w:rsidRDefault="00F67EDF" w:rsidP="00F67EDF">
      <w:pPr>
        <w:spacing w:line="240" w:lineRule="auto"/>
        <w:contextualSpacing/>
        <w:jc w:val="both"/>
        <w:rPr>
          <w:rFonts w:ascii="Times New Roman" w:hAnsi="Times New Roman"/>
          <w:sz w:val="20"/>
          <w:szCs w:val="20"/>
        </w:rPr>
      </w:pPr>
    </w:p>
    <w:p w:rsidR="00F67EDF" w:rsidRPr="00C13AFD" w:rsidRDefault="00F67EDF" w:rsidP="00F67EDF">
      <w:pPr>
        <w:spacing w:line="240" w:lineRule="auto"/>
        <w:contextualSpacing/>
        <w:jc w:val="both"/>
        <w:rPr>
          <w:rFonts w:ascii="Times New Roman" w:hAnsi="Times New Roman"/>
          <w:sz w:val="20"/>
          <w:szCs w:val="20"/>
        </w:rPr>
      </w:pPr>
    </w:p>
    <w:p w:rsidR="00F67EDF" w:rsidRPr="00C13AFD" w:rsidRDefault="00F67EDF" w:rsidP="00F67EDF">
      <w:pPr>
        <w:spacing w:line="240" w:lineRule="auto"/>
        <w:contextualSpacing/>
        <w:jc w:val="both"/>
        <w:rPr>
          <w:rFonts w:ascii="Times New Roman" w:hAnsi="Times New Roman"/>
          <w:sz w:val="20"/>
          <w:szCs w:val="20"/>
        </w:rPr>
      </w:pPr>
    </w:p>
    <w:p w:rsidR="00F67EDF" w:rsidRPr="00C13AFD" w:rsidRDefault="00F67EDF" w:rsidP="00F67EDF">
      <w:pPr>
        <w:spacing w:line="240" w:lineRule="auto"/>
        <w:contextualSpacing/>
        <w:jc w:val="both"/>
        <w:rPr>
          <w:rFonts w:ascii="Times New Roman" w:hAnsi="Times New Roman"/>
          <w:sz w:val="20"/>
          <w:szCs w:val="20"/>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Default="00F67EDF" w:rsidP="00F67EDF">
      <w:pPr>
        <w:spacing w:line="240" w:lineRule="auto"/>
        <w:contextualSpacing/>
        <w:jc w:val="both"/>
        <w:rPr>
          <w:rFonts w:ascii="Times New Roman" w:hAnsi="Times New Roman"/>
          <w:i/>
          <w:sz w:val="24"/>
          <w:szCs w:val="24"/>
        </w:rPr>
      </w:pPr>
    </w:p>
    <w:p w:rsidR="00F67EDF" w:rsidRPr="00D635C4" w:rsidRDefault="00F67EDF" w:rsidP="00F67EDF">
      <w:pPr>
        <w:spacing w:line="240" w:lineRule="auto"/>
        <w:contextualSpacing/>
        <w:jc w:val="both"/>
        <w:rPr>
          <w:rFonts w:ascii="Times New Roman" w:hAnsi="Times New Roman"/>
          <w:i/>
          <w:sz w:val="24"/>
          <w:szCs w:val="24"/>
        </w:rPr>
      </w:pPr>
      <w:r w:rsidRPr="00D635C4">
        <w:rPr>
          <w:rFonts w:ascii="Times New Roman" w:hAnsi="Times New Roman"/>
          <w:i/>
          <w:sz w:val="24"/>
          <w:szCs w:val="24"/>
        </w:rPr>
        <w:t>Source: Kenya National Examinations Council, performance statistics for various years</w:t>
      </w:r>
    </w:p>
    <w:p w:rsidR="00F67EDF" w:rsidRPr="00392CF2" w:rsidRDefault="00F67EDF" w:rsidP="00F67EDF">
      <w:pPr>
        <w:spacing w:line="240" w:lineRule="auto"/>
        <w:contextualSpacing/>
        <w:jc w:val="both"/>
        <w:rPr>
          <w:rFonts w:ascii="Times New Roman" w:hAnsi="Times New Roman"/>
          <w:sz w:val="24"/>
          <w:szCs w:val="24"/>
        </w:rPr>
      </w:pPr>
    </w:p>
    <w:p w:rsidR="00F67EDF" w:rsidRDefault="00F67EDF" w:rsidP="00F67EDF">
      <w:pPr>
        <w:spacing w:line="360" w:lineRule="auto"/>
        <w:contextualSpacing/>
        <w:jc w:val="both"/>
        <w:rPr>
          <w:rFonts w:ascii="Times New Roman" w:hAnsi="Times New Roman"/>
          <w:sz w:val="24"/>
          <w:szCs w:val="24"/>
        </w:rPr>
      </w:pPr>
    </w:p>
    <w:p w:rsidR="00F67EDF" w:rsidRDefault="00F405AD" w:rsidP="00F67EDF">
      <w:pPr>
        <w:spacing w:line="360" w:lineRule="auto"/>
        <w:contextualSpacing/>
        <w:jc w:val="both"/>
        <w:rPr>
          <w:rFonts w:ascii="Times New Roman" w:hAnsi="Times New Roman"/>
          <w:bCs/>
          <w:sz w:val="24"/>
          <w:szCs w:val="24"/>
        </w:rPr>
      </w:pPr>
      <w:r>
        <w:rPr>
          <w:rFonts w:ascii="Times New Roman" w:hAnsi="Times New Roman"/>
          <w:bCs/>
          <w:sz w:val="24"/>
          <w:szCs w:val="24"/>
        </w:rPr>
        <w:t xml:space="preserve">      </w:t>
      </w:r>
      <w:r w:rsidR="00F67EDF">
        <w:rPr>
          <w:rFonts w:ascii="Times New Roman" w:hAnsi="Times New Roman"/>
          <w:bCs/>
          <w:sz w:val="24"/>
          <w:szCs w:val="24"/>
        </w:rPr>
        <w:t xml:space="preserve">In Kenya, candidates qualifying to study </w:t>
      </w:r>
      <w:r w:rsidR="00DB60D5">
        <w:rPr>
          <w:rFonts w:ascii="Times New Roman" w:hAnsi="Times New Roman"/>
          <w:bCs/>
          <w:sz w:val="24"/>
          <w:szCs w:val="24"/>
        </w:rPr>
        <w:t>s</w:t>
      </w:r>
      <w:r w:rsidR="00F67EDF">
        <w:rPr>
          <w:rFonts w:ascii="Times New Roman" w:hAnsi="Times New Roman"/>
          <w:bCs/>
          <w:sz w:val="24"/>
          <w:szCs w:val="24"/>
        </w:rPr>
        <w:t xml:space="preserve">cience, </w:t>
      </w:r>
      <w:r w:rsidR="00DB60D5">
        <w:rPr>
          <w:rFonts w:ascii="Times New Roman" w:hAnsi="Times New Roman"/>
          <w:bCs/>
          <w:sz w:val="24"/>
          <w:szCs w:val="24"/>
        </w:rPr>
        <w:t>m</w:t>
      </w:r>
      <w:r w:rsidR="00F67EDF">
        <w:rPr>
          <w:rFonts w:ascii="Times New Roman" w:hAnsi="Times New Roman"/>
          <w:bCs/>
          <w:sz w:val="24"/>
          <w:szCs w:val="24"/>
        </w:rPr>
        <w:t xml:space="preserve">athematics and </w:t>
      </w:r>
      <w:r w:rsidR="00DB60D5">
        <w:rPr>
          <w:rFonts w:ascii="Times New Roman" w:hAnsi="Times New Roman"/>
          <w:bCs/>
          <w:sz w:val="24"/>
          <w:szCs w:val="24"/>
        </w:rPr>
        <w:t>t</w:t>
      </w:r>
      <w:r w:rsidR="00F67EDF">
        <w:rPr>
          <w:rFonts w:ascii="Times New Roman" w:hAnsi="Times New Roman"/>
          <w:bCs/>
          <w:sz w:val="24"/>
          <w:szCs w:val="24"/>
        </w:rPr>
        <w:t xml:space="preserve">echnology based courses have to score between grade A and A- in the form four qualifying examination. The examination does not however provide for compensatory mechanisms for disadvantaged students such as females.  Consequently, as shown in Table </w:t>
      </w:r>
      <w:r w:rsidR="00DB60D5">
        <w:rPr>
          <w:rFonts w:ascii="Times New Roman" w:hAnsi="Times New Roman"/>
          <w:bCs/>
          <w:sz w:val="24"/>
          <w:szCs w:val="24"/>
        </w:rPr>
        <w:t>5.</w:t>
      </w:r>
      <w:r w:rsidR="00F67EDF">
        <w:rPr>
          <w:rFonts w:ascii="Times New Roman" w:hAnsi="Times New Roman"/>
          <w:bCs/>
          <w:sz w:val="24"/>
          <w:szCs w:val="24"/>
        </w:rPr>
        <w:t>2, the cumulative percentages of female students who score above grade B+ is more to those that score within the A and A-, which means that chances of a majority of women joining the professional courses are limited.</w:t>
      </w:r>
    </w:p>
    <w:p w:rsidR="00F67EDF" w:rsidRDefault="00F67EDF" w:rsidP="00F67EDF">
      <w:pPr>
        <w:spacing w:line="360" w:lineRule="auto"/>
        <w:contextualSpacing/>
        <w:jc w:val="both"/>
        <w:rPr>
          <w:rFonts w:ascii="Times New Roman" w:hAnsi="Times New Roman"/>
          <w:sz w:val="24"/>
          <w:szCs w:val="24"/>
        </w:rPr>
      </w:pPr>
    </w:p>
    <w:p w:rsidR="003A4C98" w:rsidRDefault="00F405AD" w:rsidP="00F67EDF">
      <w:pPr>
        <w:spacing w:line="360" w:lineRule="auto"/>
        <w:contextualSpacing/>
        <w:jc w:val="both"/>
        <w:rPr>
          <w:rFonts w:ascii="Times New Roman" w:hAnsi="Times New Roman"/>
          <w:sz w:val="24"/>
          <w:szCs w:val="24"/>
          <w:lang w:val="en-US"/>
        </w:rPr>
      </w:pPr>
      <w:r>
        <w:rPr>
          <w:rFonts w:ascii="Times New Roman" w:hAnsi="Times New Roman"/>
          <w:bCs/>
          <w:sz w:val="24"/>
          <w:szCs w:val="24"/>
        </w:rPr>
        <w:t xml:space="preserve">      </w:t>
      </w:r>
      <w:r w:rsidR="00F67EDF">
        <w:rPr>
          <w:rFonts w:ascii="Times New Roman" w:hAnsi="Times New Roman"/>
          <w:bCs/>
          <w:sz w:val="24"/>
          <w:szCs w:val="24"/>
        </w:rPr>
        <w:t>The</w:t>
      </w:r>
      <w:r w:rsidR="00F67EDF">
        <w:rPr>
          <w:rStyle w:val="CommentReference"/>
        </w:rPr>
        <w:t xml:space="preserve"> </w:t>
      </w:r>
      <w:r w:rsidR="00F67EDF">
        <w:rPr>
          <w:rFonts w:ascii="Times New Roman" w:hAnsi="Times New Roman"/>
          <w:bCs/>
          <w:sz w:val="24"/>
          <w:szCs w:val="24"/>
        </w:rPr>
        <w:t xml:space="preserve">data from Kenya and Nigeria mirrors participation trends in other </w:t>
      </w:r>
      <w:r w:rsidR="003A4C98">
        <w:rPr>
          <w:rFonts w:ascii="Times New Roman" w:hAnsi="Times New Roman"/>
          <w:bCs/>
          <w:sz w:val="24"/>
          <w:szCs w:val="24"/>
        </w:rPr>
        <w:t>S</w:t>
      </w:r>
      <w:r w:rsidR="00F67EDF">
        <w:rPr>
          <w:rFonts w:ascii="Times New Roman" w:hAnsi="Times New Roman"/>
          <w:bCs/>
          <w:sz w:val="24"/>
          <w:szCs w:val="24"/>
        </w:rPr>
        <w:t>ub-Saharan countries indicating a consistent stagnation of female access to universities fluctuating between 35 and 40</w:t>
      </w:r>
      <w:r w:rsidR="003A4C98">
        <w:rPr>
          <w:rFonts w:ascii="Times New Roman" w:hAnsi="Times New Roman"/>
          <w:bCs/>
          <w:sz w:val="24"/>
          <w:szCs w:val="24"/>
        </w:rPr>
        <w:t xml:space="preserve"> percent,</w:t>
      </w:r>
      <w:r w:rsidR="00F67EDF">
        <w:rPr>
          <w:rFonts w:ascii="Times New Roman" w:hAnsi="Times New Roman"/>
          <w:bCs/>
          <w:sz w:val="24"/>
          <w:szCs w:val="24"/>
        </w:rPr>
        <w:t xml:space="preserve"> with the average mean being 35</w:t>
      </w:r>
      <w:r w:rsidR="003A4C98">
        <w:rPr>
          <w:rFonts w:ascii="Times New Roman" w:hAnsi="Times New Roman"/>
          <w:bCs/>
          <w:sz w:val="24"/>
          <w:szCs w:val="24"/>
        </w:rPr>
        <w:t xml:space="preserve"> percent</w:t>
      </w:r>
      <w:r w:rsidR="00F67EDF">
        <w:rPr>
          <w:rFonts w:ascii="Times New Roman" w:hAnsi="Times New Roman"/>
          <w:bCs/>
          <w:sz w:val="24"/>
          <w:szCs w:val="24"/>
        </w:rPr>
        <w:t>.  There is also another dimension of access</w:t>
      </w:r>
      <w:r w:rsidR="003A4C98">
        <w:rPr>
          <w:rFonts w:ascii="Times New Roman" w:hAnsi="Times New Roman"/>
          <w:bCs/>
          <w:sz w:val="24"/>
          <w:szCs w:val="24"/>
        </w:rPr>
        <w:t>,</w:t>
      </w:r>
      <w:r w:rsidR="00F67EDF">
        <w:rPr>
          <w:rFonts w:ascii="Times New Roman" w:hAnsi="Times New Roman"/>
          <w:bCs/>
          <w:sz w:val="24"/>
          <w:szCs w:val="24"/>
        </w:rPr>
        <w:t xml:space="preserve"> though</w:t>
      </w:r>
      <w:r w:rsidR="003A4C98">
        <w:rPr>
          <w:rFonts w:ascii="Times New Roman" w:hAnsi="Times New Roman"/>
          <w:bCs/>
          <w:sz w:val="24"/>
          <w:szCs w:val="24"/>
        </w:rPr>
        <w:t>,</w:t>
      </w:r>
      <w:r w:rsidR="00F67EDF">
        <w:rPr>
          <w:rFonts w:ascii="Times New Roman" w:hAnsi="Times New Roman"/>
          <w:bCs/>
          <w:sz w:val="24"/>
          <w:szCs w:val="24"/>
        </w:rPr>
        <w:t xml:space="preserve"> that characterizes inequities in access to higher education by female students in </w:t>
      </w:r>
      <w:r w:rsidR="003A4C98">
        <w:rPr>
          <w:rFonts w:ascii="Times New Roman" w:hAnsi="Times New Roman"/>
          <w:bCs/>
          <w:sz w:val="24"/>
          <w:szCs w:val="24"/>
        </w:rPr>
        <w:t>S</w:t>
      </w:r>
      <w:r w:rsidR="00F67EDF">
        <w:rPr>
          <w:rFonts w:ascii="Times New Roman" w:hAnsi="Times New Roman"/>
          <w:bCs/>
          <w:sz w:val="24"/>
          <w:szCs w:val="24"/>
        </w:rPr>
        <w:t xml:space="preserve">ub-Saharan Africa, i.e., access to </w:t>
      </w:r>
      <w:r w:rsidR="003A4C98">
        <w:rPr>
          <w:rFonts w:ascii="Times New Roman" w:hAnsi="Times New Roman"/>
          <w:bCs/>
          <w:sz w:val="24"/>
          <w:szCs w:val="24"/>
        </w:rPr>
        <w:t>s</w:t>
      </w:r>
      <w:r w:rsidR="00F67EDF">
        <w:rPr>
          <w:rFonts w:ascii="Times New Roman" w:hAnsi="Times New Roman"/>
          <w:bCs/>
          <w:sz w:val="24"/>
          <w:szCs w:val="24"/>
        </w:rPr>
        <w:t xml:space="preserve">cience and </w:t>
      </w:r>
      <w:r w:rsidR="003A4C98">
        <w:rPr>
          <w:rFonts w:ascii="Times New Roman" w:hAnsi="Times New Roman"/>
          <w:bCs/>
          <w:sz w:val="24"/>
          <w:szCs w:val="24"/>
        </w:rPr>
        <w:t>t</w:t>
      </w:r>
      <w:r w:rsidR="00F67EDF">
        <w:rPr>
          <w:rFonts w:ascii="Times New Roman" w:hAnsi="Times New Roman"/>
          <w:bCs/>
          <w:sz w:val="24"/>
          <w:szCs w:val="24"/>
        </w:rPr>
        <w:t xml:space="preserve">echnology and other professional programmes in the universities. </w:t>
      </w:r>
      <w:r w:rsidR="00F67EDF">
        <w:rPr>
          <w:rFonts w:ascii="Times New Roman" w:hAnsi="Times New Roman"/>
          <w:sz w:val="24"/>
          <w:szCs w:val="24"/>
          <w:lang w:val="en-US"/>
        </w:rPr>
        <w:t xml:space="preserve">Transition of female students from secondary level to </w:t>
      </w:r>
      <w:r w:rsidR="003A4C98">
        <w:rPr>
          <w:rFonts w:ascii="Times New Roman" w:hAnsi="Times New Roman"/>
          <w:sz w:val="24"/>
          <w:szCs w:val="24"/>
          <w:lang w:val="en-US"/>
        </w:rPr>
        <w:t>s</w:t>
      </w:r>
      <w:r w:rsidR="00F67EDF">
        <w:rPr>
          <w:rFonts w:ascii="Times New Roman" w:hAnsi="Times New Roman"/>
          <w:sz w:val="24"/>
          <w:szCs w:val="24"/>
          <w:lang w:val="en-US"/>
        </w:rPr>
        <w:t xml:space="preserve">cience, </w:t>
      </w:r>
      <w:r w:rsidR="003A4C98">
        <w:rPr>
          <w:rFonts w:ascii="Times New Roman" w:hAnsi="Times New Roman"/>
          <w:sz w:val="24"/>
          <w:szCs w:val="24"/>
          <w:lang w:val="en-US"/>
        </w:rPr>
        <w:t>m</w:t>
      </w:r>
      <w:r w:rsidR="00F67EDF">
        <w:rPr>
          <w:rFonts w:ascii="Times New Roman" w:hAnsi="Times New Roman"/>
          <w:sz w:val="24"/>
          <w:szCs w:val="24"/>
          <w:lang w:val="en-US"/>
        </w:rPr>
        <w:t xml:space="preserve">athematics and </w:t>
      </w:r>
      <w:r w:rsidR="003A4C98">
        <w:rPr>
          <w:rFonts w:ascii="Times New Roman" w:hAnsi="Times New Roman"/>
          <w:sz w:val="24"/>
          <w:szCs w:val="24"/>
          <w:lang w:val="en-US"/>
        </w:rPr>
        <w:t>t</w:t>
      </w:r>
      <w:r w:rsidR="00F67EDF">
        <w:rPr>
          <w:rFonts w:ascii="Times New Roman" w:hAnsi="Times New Roman"/>
          <w:sz w:val="24"/>
          <w:szCs w:val="24"/>
          <w:lang w:val="en-US"/>
        </w:rPr>
        <w:t>echnology based academic programmes in higher education institutions</w:t>
      </w:r>
      <w:r w:rsidR="00F67EDF" w:rsidRPr="00D27C8B">
        <w:rPr>
          <w:rFonts w:ascii="Times New Roman" w:hAnsi="Times New Roman"/>
          <w:sz w:val="24"/>
          <w:szCs w:val="24"/>
          <w:lang w:val="en-US"/>
        </w:rPr>
        <w:t xml:space="preserve"> is</w:t>
      </w:r>
      <w:r w:rsidR="00F67EDF">
        <w:rPr>
          <w:rFonts w:ascii="Times New Roman" w:hAnsi="Times New Roman"/>
          <w:bCs/>
          <w:sz w:val="24"/>
          <w:szCs w:val="24"/>
        </w:rPr>
        <w:t xml:space="preserve"> </w:t>
      </w:r>
      <w:r w:rsidR="00F67EDF" w:rsidRPr="00D27C8B">
        <w:rPr>
          <w:rFonts w:ascii="Times New Roman" w:hAnsi="Times New Roman"/>
          <w:sz w:val="24"/>
          <w:szCs w:val="24"/>
          <w:lang w:val="en-US"/>
        </w:rPr>
        <w:t>particular</w:t>
      </w:r>
      <w:r w:rsidR="00F67EDF">
        <w:rPr>
          <w:rFonts w:ascii="Times New Roman" w:hAnsi="Times New Roman"/>
          <w:sz w:val="24"/>
          <w:szCs w:val="24"/>
          <w:lang w:val="en-US"/>
        </w:rPr>
        <w:t xml:space="preserve">ly lower than transition for males. Low transition for female students is </w:t>
      </w:r>
      <w:r w:rsidR="00F67EDF">
        <w:rPr>
          <w:rFonts w:ascii="Times New Roman" w:hAnsi="Times New Roman"/>
          <w:bCs/>
          <w:sz w:val="24"/>
          <w:szCs w:val="24"/>
        </w:rPr>
        <w:t>pronounced</w:t>
      </w:r>
      <w:r w:rsidR="00F67EDF" w:rsidRPr="00D27C8B">
        <w:rPr>
          <w:rFonts w:ascii="Times New Roman" w:hAnsi="Times New Roman"/>
          <w:sz w:val="24"/>
          <w:szCs w:val="24"/>
          <w:lang w:val="en-US"/>
        </w:rPr>
        <w:t xml:space="preserve"> in engineering and other technical courses.</w:t>
      </w:r>
    </w:p>
    <w:p w:rsidR="003A4C98" w:rsidRDefault="003A4C98" w:rsidP="00F67EDF">
      <w:pPr>
        <w:spacing w:line="360" w:lineRule="auto"/>
        <w:contextualSpacing/>
        <w:jc w:val="both"/>
        <w:rPr>
          <w:rFonts w:ascii="Times New Roman" w:hAnsi="Times New Roman"/>
          <w:sz w:val="24"/>
          <w:szCs w:val="24"/>
          <w:lang w:val="en-US"/>
        </w:rPr>
      </w:pPr>
    </w:p>
    <w:p w:rsidR="00F67EDF" w:rsidRPr="00F176E2" w:rsidRDefault="00F405AD" w:rsidP="00F67EDF">
      <w:pPr>
        <w:spacing w:line="360" w:lineRule="auto"/>
        <w:contextualSpacing/>
        <w:jc w:val="both"/>
        <w:rPr>
          <w:rFonts w:ascii="Times New Roman" w:hAnsi="Times New Roman"/>
          <w:sz w:val="24"/>
          <w:szCs w:val="24"/>
          <w:lang w:val="en-US"/>
        </w:rPr>
      </w:pPr>
      <w:r>
        <w:rPr>
          <w:rFonts w:ascii="Times New Roman" w:hAnsi="Times New Roman"/>
          <w:sz w:val="24"/>
          <w:szCs w:val="24"/>
          <w:lang w:val="en-US"/>
        </w:rPr>
        <w:t xml:space="preserve">      </w:t>
      </w:r>
      <w:r w:rsidR="00F67EDF" w:rsidRPr="00D27C8B">
        <w:rPr>
          <w:rFonts w:ascii="Times New Roman" w:hAnsi="Times New Roman"/>
          <w:sz w:val="24"/>
          <w:szCs w:val="24"/>
          <w:lang w:val="en-US"/>
        </w:rPr>
        <w:t xml:space="preserve"> In Nigeria, for example, in the 1999</w:t>
      </w:r>
      <w:r w:rsidR="003A4C98">
        <w:rPr>
          <w:rFonts w:ascii="Times New Roman" w:hAnsi="Times New Roman"/>
          <w:sz w:val="24"/>
          <w:szCs w:val="24"/>
          <w:lang w:val="en-US"/>
        </w:rPr>
        <w:t>-</w:t>
      </w:r>
      <w:r w:rsidR="00F67EDF" w:rsidRPr="00D27C8B">
        <w:rPr>
          <w:rFonts w:ascii="Times New Roman" w:hAnsi="Times New Roman"/>
          <w:sz w:val="24"/>
          <w:szCs w:val="24"/>
          <w:lang w:val="en-US"/>
        </w:rPr>
        <w:t>2000 session,</w:t>
      </w:r>
      <w:r w:rsidR="00F67EDF">
        <w:rPr>
          <w:rFonts w:ascii="Times New Roman" w:hAnsi="Times New Roman"/>
          <w:bCs/>
          <w:sz w:val="24"/>
          <w:szCs w:val="24"/>
        </w:rPr>
        <w:t xml:space="preserve"> </w:t>
      </w:r>
      <w:r w:rsidR="00F67EDF" w:rsidRPr="00D27C8B">
        <w:rPr>
          <w:rFonts w:ascii="Times New Roman" w:hAnsi="Times New Roman"/>
          <w:sz w:val="24"/>
          <w:szCs w:val="24"/>
          <w:lang w:val="en-US"/>
        </w:rPr>
        <w:t>there</w:t>
      </w:r>
      <w:r w:rsidR="00F67EDF">
        <w:rPr>
          <w:rFonts w:ascii="Times New Roman" w:hAnsi="Times New Roman"/>
          <w:sz w:val="24"/>
          <w:szCs w:val="24"/>
          <w:lang w:val="en-US"/>
        </w:rPr>
        <w:t xml:space="preserve"> were zero enrollments for females</w:t>
      </w:r>
      <w:r w:rsidR="00F67EDF" w:rsidRPr="00D27C8B">
        <w:rPr>
          <w:rFonts w:ascii="Times New Roman" w:hAnsi="Times New Roman"/>
          <w:sz w:val="24"/>
          <w:szCs w:val="24"/>
          <w:lang w:val="en-US"/>
        </w:rPr>
        <w:t xml:space="preserve"> in technical courses such as mechanical engineering, plumbing,</w:t>
      </w:r>
      <w:r w:rsidR="00F67EDF">
        <w:rPr>
          <w:rFonts w:ascii="Times New Roman" w:hAnsi="Times New Roman"/>
          <w:bCs/>
          <w:sz w:val="24"/>
          <w:szCs w:val="24"/>
        </w:rPr>
        <w:t xml:space="preserve"> </w:t>
      </w:r>
      <w:r w:rsidR="00F67EDF" w:rsidRPr="00D27C8B">
        <w:rPr>
          <w:rFonts w:ascii="Times New Roman" w:hAnsi="Times New Roman"/>
          <w:sz w:val="24"/>
          <w:szCs w:val="24"/>
          <w:lang w:val="en-US"/>
        </w:rPr>
        <w:t>fabrication and welding (Federal Ministry of Education, Nigeria, 2005).</w:t>
      </w:r>
      <w:r w:rsidR="00F67EDF">
        <w:rPr>
          <w:rFonts w:ascii="Times New Roman" w:hAnsi="Times New Roman"/>
          <w:sz w:val="24"/>
          <w:szCs w:val="24"/>
          <w:lang w:val="en-US"/>
        </w:rPr>
        <w:t xml:space="preserve"> </w:t>
      </w:r>
      <w:r w:rsidR="003A4C98">
        <w:rPr>
          <w:rFonts w:ascii="Times New Roman" w:hAnsi="Times New Roman"/>
          <w:sz w:val="24"/>
          <w:szCs w:val="24"/>
          <w:lang w:val="en-US"/>
        </w:rPr>
        <w:t>Similarly, i</w:t>
      </w:r>
      <w:r w:rsidR="00F67EDF" w:rsidRPr="00D27C8B">
        <w:rPr>
          <w:rFonts w:ascii="Times New Roman" w:hAnsi="Times New Roman"/>
          <w:sz w:val="24"/>
          <w:szCs w:val="24"/>
          <w:lang w:val="en-US"/>
        </w:rPr>
        <w:t>n Nigeria, in 1999</w:t>
      </w:r>
      <w:r w:rsidR="003A4C98">
        <w:rPr>
          <w:rFonts w:ascii="Times New Roman" w:hAnsi="Times New Roman"/>
          <w:sz w:val="24"/>
          <w:szCs w:val="24"/>
          <w:lang w:val="en-US"/>
        </w:rPr>
        <w:t>-</w:t>
      </w:r>
      <w:r w:rsidR="00F67EDF" w:rsidRPr="00D27C8B">
        <w:rPr>
          <w:rFonts w:ascii="Times New Roman" w:hAnsi="Times New Roman"/>
          <w:sz w:val="24"/>
          <w:szCs w:val="24"/>
          <w:lang w:val="en-US"/>
        </w:rPr>
        <w:t>2000</w:t>
      </w:r>
      <w:r w:rsidR="003A4C98">
        <w:rPr>
          <w:rFonts w:ascii="Times New Roman" w:hAnsi="Times New Roman"/>
          <w:sz w:val="24"/>
          <w:szCs w:val="24"/>
          <w:lang w:val="en-US"/>
        </w:rPr>
        <w:t>,</w:t>
      </w:r>
      <w:r w:rsidR="00F67EDF">
        <w:rPr>
          <w:rFonts w:ascii="Times New Roman" w:hAnsi="Times New Roman"/>
          <w:sz w:val="24"/>
          <w:szCs w:val="24"/>
          <w:lang w:val="en-US"/>
        </w:rPr>
        <w:t xml:space="preserve"> female</w:t>
      </w:r>
      <w:r w:rsidR="00F67EDF" w:rsidRPr="00D27C8B">
        <w:rPr>
          <w:rFonts w:ascii="Times New Roman" w:hAnsi="Times New Roman"/>
          <w:sz w:val="24"/>
          <w:szCs w:val="24"/>
          <w:lang w:val="en-US"/>
        </w:rPr>
        <w:t xml:space="preserve"> students constituted only 27 percent of those in science and technology programs in the universities.</w:t>
      </w:r>
      <w:r w:rsidR="00F67EDF">
        <w:rPr>
          <w:rFonts w:ascii="Times New Roman" w:hAnsi="Times New Roman"/>
          <w:sz w:val="24"/>
          <w:szCs w:val="24"/>
          <w:lang w:val="en-US"/>
        </w:rPr>
        <w:t xml:space="preserve"> Moreover, while lack of role models for secondary school female students is cited in the literature as part of the reasons contributing to low achievement in </w:t>
      </w:r>
      <w:r w:rsidR="003A4C98">
        <w:rPr>
          <w:rFonts w:ascii="Times New Roman" w:hAnsi="Times New Roman"/>
          <w:sz w:val="24"/>
          <w:szCs w:val="24"/>
          <w:lang w:val="en-US"/>
        </w:rPr>
        <w:t>s</w:t>
      </w:r>
      <w:r w:rsidR="00F67EDF">
        <w:rPr>
          <w:rFonts w:ascii="Times New Roman" w:hAnsi="Times New Roman"/>
          <w:sz w:val="24"/>
          <w:szCs w:val="24"/>
          <w:lang w:val="en-US"/>
        </w:rPr>
        <w:t xml:space="preserve">cience and </w:t>
      </w:r>
      <w:r w:rsidR="003A4C98">
        <w:rPr>
          <w:rFonts w:ascii="Times New Roman" w:hAnsi="Times New Roman"/>
          <w:sz w:val="24"/>
          <w:szCs w:val="24"/>
          <w:lang w:val="en-US"/>
        </w:rPr>
        <w:t>m</w:t>
      </w:r>
      <w:r w:rsidR="00F67EDF">
        <w:rPr>
          <w:rFonts w:ascii="Times New Roman" w:hAnsi="Times New Roman"/>
          <w:sz w:val="24"/>
          <w:szCs w:val="24"/>
          <w:lang w:val="en-US"/>
        </w:rPr>
        <w:t>athematics courses at secondary schools, science education programs at the universities do not seem to attract high number of female students. In Kenya, data for 2002</w:t>
      </w:r>
      <w:r w:rsidR="003A4C98">
        <w:rPr>
          <w:rFonts w:ascii="Times New Roman" w:hAnsi="Times New Roman"/>
          <w:sz w:val="24"/>
          <w:szCs w:val="24"/>
          <w:lang w:val="en-US"/>
        </w:rPr>
        <w:t>-</w:t>
      </w:r>
      <w:r w:rsidR="00F67EDF">
        <w:rPr>
          <w:rFonts w:ascii="Times New Roman" w:hAnsi="Times New Roman"/>
          <w:sz w:val="24"/>
          <w:szCs w:val="24"/>
          <w:lang w:val="en-US"/>
        </w:rPr>
        <w:t>2003 to 2004</w:t>
      </w:r>
      <w:r w:rsidR="003A4C98">
        <w:rPr>
          <w:rFonts w:ascii="Times New Roman" w:hAnsi="Times New Roman"/>
          <w:sz w:val="24"/>
          <w:szCs w:val="24"/>
          <w:lang w:val="en-US"/>
        </w:rPr>
        <w:t>-</w:t>
      </w:r>
      <w:r w:rsidR="00F67EDF">
        <w:rPr>
          <w:rFonts w:ascii="Times New Roman" w:hAnsi="Times New Roman"/>
          <w:sz w:val="24"/>
          <w:szCs w:val="24"/>
          <w:lang w:val="en-US"/>
        </w:rPr>
        <w:t xml:space="preserve">2005 show that </w:t>
      </w:r>
      <w:r w:rsidR="00F67EDF" w:rsidRPr="00D27C8B">
        <w:rPr>
          <w:rFonts w:ascii="Times New Roman" w:hAnsi="Times New Roman"/>
          <w:sz w:val="24"/>
          <w:szCs w:val="24"/>
          <w:lang w:val="en-US"/>
        </w:rPr>
        <w:t>out of the 1,815 bachelor of education</w:t>
      </w:r>
      <w:r w:rsidR="00F67EDF">
        <w:rPr>
          <w:rFonts w:ascii="Times New Roman" w:hAnsi="Times New Roman"/>
          <w:sz w:val="24"/>
          <w:szCs w:val="24"/>
          <w:lang w:val="en-US"/>
        </w:rPr>
        <w:t xml:space="preserve"> students who specialized in </w:t>
      </w:r>
      <w:r w:rsidR="003A4C98">
        <w:rPr>
          <w:rFonts w:ascii="Times New Roman" w:hAnsi="Times New Roman"/>
          <w:sz w:val="24"/>
          <w:szCs w:val="24"/>
          <w:lang w:val="en-US"/>
        </w:rPr>
        <w:t>s</w:t>
      </w:r>
      <w:r w:rsidR="00F67EDF">
        <w:rPr>
          <w:rFonts w:ascii="Times New Roman" w:hAnsi="Times New Roman"/>
          <w:sz w:val="24"/>
          <w:szCs w:val="24"/>
          <w:lang w:val="en-US"/>
        </w:rPr>
        <w:t xml:space="preserve">cience, </w:t>
      </w:r>
      <w:r w:rsidR="003A4C98">
        <w:rPr>
          <w:rFonts w:ascii="Times New Roman" w:hAnsi="Times New Roman"/>
          <w:sz w:val="24"/>
          <w:szCs w:val="24"/>
          <w:lang w:val="en-US"/>
        </w:rPr>
        <w:t>m</w:t>
      </w:r>
      <w:r w:rsidR="00F67EDF">
        <w:rPr>
          <w:rFonts w:ascii="Times New Roman" w:hAnsi="Times New Roman"/>
          <w:sz w:val="24"/>
          <w:szCs w:val="24"/>
          <w:lang w:val="en-US"/>
        </w:rPr>
        <w:t xml:space="preserve">athematics and </w:t>
      </w:r>
      <w:r w:rsidR="003A4C98">
        <w:rPr>
          <w:rFonts w:ascii="Times New Roman" w:hAnsi="Times New Roman"/>
          <w:sz w:val="24"/>
          <w:szCs w:val="24"/>
          <w:lang w:val="en-US"/>
        </w:rPr>
        <w:t>t</w:t>
      </w:r>
      <w:r w:rsidR="00F67EDF">
        <w:rPr>
          <w:rFonts w:ascii="Times New Roman" w:hAnsi="Times New Roman"/>
          <w:sz w:val="24"/>
          <w:szCs w:val="24"/>
          <w:lang w:val="en-US"/>
        </w:rPr>
        <w:t>echnology</w:t>
      </w:r>
      <w:r w:rsidR="003A4C98">
        <w:rPr>
          <w:rFonts w:ascii="Times New Roman" w:hAnsi="Times New Roman"/>
          <w:sz w:val="24"/>
          <w:szCs w:val="24"/>
          <w:lang w:val="en-US"/>
        </w:rPr>
        <w:t>-</w:t>
      </w:r>
      <w:r w:rsidR="00F67EDF">
        <w:rPr>
          <w:rFonts w:ascii="Times New Roman" w:hAnsi="Times New Roman"/>
          <w:sz w:val="24"/>
          <w:szCs w:val="24"/>
          <w:lang w:val="en-US"/>
        </w:rPr>
        <w:t>related subjects</w:t>
      </w:r>
      <w:r w:rsidR="003A4C98">
        <w:rPr>
          <w:rFonts w:ascii="Times New Roman" w:hAnsi="Times New Roman"/>
          <w:sz w:val="24"/>
          <w:szCs w:val="24"/>
          <w:lang w:val="en-US"/>
        </w:rPr>
        <w:t>,</w:t>
      </w:r>
      <w:r w:rsidR="00F67EDF" w:rsidRPr="00D27C8B">
        <w:rPr>
          <w:rFonts w:ascii="Times New Roman" w:hAnsi="Times New Roman"/>
          <w:sz w:val="24"/>
          <w:szCs w:val="24"/>
          <w:lang w:val="en-US"/>
        </w:rPr>
        <w:t xml:space="preserve"> only</w:t>
      </w:r>
      <w:r w:rsidR="00F67EDF">
        <w:rPr>
          <w:rFonts w:ascii="Times New Roman" w:hAnsi="Times New Roman"/>
          <w:sz w:val="24"/>
          <w:szCs w:val="24"/>
          <w:lang w:val="en-US"/>
        </w:rPr>
        <w:t xml:space="preserve"> 470 or 25.90 percent were female, representing only 17.52 </w:t>
      </w:r>
      <w:r w:rsidR="003A4C98">
        <w:rPr>
          <w:rFonts w:ascii="Times New Roman" w:hAnsi="Times New Roman"/>
          <w:sz w:val="24"/>
          <w:szCs w:val="24"/>
          <w:lang w:val="en-US"/>
        </w:rPr>
        <w:t>percent</w:t>
      </w:r>
      <w:r w:rsidR="00F67EDF" w:rsidRPr="00D27C8B">
        <w:rPr>
          <w:rFonts w:ascii="Times New Roman" w:hAnsi="Times New Roman"/>
          <w:sz w:val="24"/>
          <w:szCs w:val="24"/>
          <w:lang w:val="en-US"/>
        </w:rPr>
        <w:t xml:space="preserve"> of the</w:t>
      </w:r>
      <w:r w:rsidR="00F67EDF">
        <w:rPr>
          <w:rFonts w:ascii="Times New Roman" w:hAnsi="Times New Roman"/>
          <w:sz w:val="24"/>
          <w:szCs w:val="24"/>
          <w:lang w:val="en-US"/>
        </w:rPr>
        <w:t xml:space="preserve"> </w:t>
      </w:r>
      <w:r w:rsidR="00F67EDF" w:rsidRPr="00D27C8B">
        <w:rPr>
          <w:rFonts w:ascii="Times New Roman" w:hAnsi="Times New Roman"/>
          <w:sz w:val="24"/>
          <w:szCs w:val="24"/>
          <w:lang w:val="en-US"/>
        </w:rPr>
        <w:t>female students enrolled in education (Bunyi, 2006).</w:t>
      </w:r>
    </w:p>
    <w:p w:rsidR="00F67EDF" w:rsidRDefault="00F67EDF" w:rsidP="00F67EDF">
      <w:pPr>
        <w:spacing w:line="360" w:lineRule="auto"/>
        <w:contextualSpacing/>
        <w:jc w:val="both"/>
        <w:rPr>
          <w:rFonts w:ascii="Times New Roman" w:hAnsi="Times New Roman"/>
          <w:sz w:val="24"/>
          <w:szCs w:val="24"/>
        </w:rPr>
      </w:pPr>
    </w:p>
    <w:p w:rsidR="00F67EDF"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sidRPr="00392CF2">
        <w:rPr>
          <w:rFonts w:ascii="Times New Roman" w:hAnsi="Times New Roman"/>
          <w:sz w:val="24"/>
          <w:szCs w:val="24"/>
        </w:rPr>
        <w:t xml:space="preserve">Female students from </w:t>
      </w:r>
      <w:r w:rsidR="00F67EDF">
        <w:rPr>
          <w:rFonts w:ascii="Times New Roman" w:hAnsi="Times New Roman"/>
          <w:sz w:val="24"/>
          <w:szCs w:val="24"/>
        </w:rPr>
        <w:t>marginalized</w:t>
      </w:r>
      <w:r w:rsidR="00F67EDF" w:rsidRPr="00392CF2">
        <w:rPr>
          <w:rFonts w:ascii="Times New Roman" w:hAnsi="Times New Roman"/>
          <w:sz w:val="24"/>
          <w:szCs w:val="24"/>
        </w:rPr>
        <w:t xml:space="preserve"> backgrounds are even more disadvantaged particularly in the critical fields</w:t>
      </w:r>
      <w:r w:rsidR="00F67EDF">
        <w:rPr>
          <w:rFonts w:ascii="Times New Roman" w:hAnsi="Times New Roman"/>
          <w:sz w:val="24"/>
          <w:szCs w:val="24"/>
        </w:rPr>
        <w:t xml:space="preserve"> of science and technology</w:t>
      </w:r>
      <w:r w:rsidR="00F67EDF" w:rsidRPr="00392CF2">
        <w:rPr>
          <w:rFonts w:ascii="Times New Roman" w:hAnsi="Times New Roman"/>
          <w:sz w:val="24"/>
          <w:szCs w:val="24"/>
        </w:rPr>
        <w:t xml:space="preserve">. </w:t>
      </w:r>
      <w:r w:rsidR="00F67EDF">
        <w:rPr>
          <w:rFonts w:ascii="Times New Roman" w:hAnsi="Times New Roman"/>
          <w:sz w:val="24"/>
          <w:szCs w:val="24"/>
        </w:rPr>
        <w:t>Female disadvantage is more apparent at the post-graduate level.</w:t>
      </w:r>
      <w:r w:rsidR="00F67EDF" w:rsidRPr="00392CF2">
        <w:rPr>
          <w:rFonts w:ascii="Times New Roman" w:hAnsi="Times New Roman"/>
          <w:sz w:val="24"/>
          <w:szCs w:val="24"/>
        </w:rPr>
        <w:t xml:space="preserve"> </w:t>
      </w:r>
      <w:r w:rsidR="00F67EDF">
        <w:rPr>
          <w:rFonts w:ascii="Times New Roman" w:hAnsi="Times New Roman"/>
          <w:sz w:val="24"/>
          <w:szCs w:val="24"/>
        </w:rPr>
        <w:t>In the case of Kenya, data tracking access, participation and completion of female students in science and mathematics programmes in higher education is not comprehensively up-to-date. Institutions usually capture students profiles based on gender but not by area of study. However, studies on these theme</w:t>
      </w:r>
      <w:r w:rsidR="003A4C98">
        <w:rPr>
          <w:rFonts w:ascii="Times New Roman" w:hAnsi="Times New Roman"/>
          <w:sz w:val="24"/>
          <w:szCs w:val="24"/>
        </w:rPr>
        <w:t>s</w:t>
      </w:r>
      <w:r w:rsidR="00F67EDF">
        <w:rPr>
          <w:rFonts w:ascii="Times New Roman" w:hAnsi="Times New Roman"/>
          <w:sz w:val="24"/>
          <w:szCs w:val="24"/>
        </w:rPr>
        <w:t xml:space="preserve"> reveal that female students are not only the minority in terms of access to education, (see </w:t>
      </w:r>
      <w:r w:rsidR="003A4C98">
        <w:rPr>
          <w:rFonts w:ascii="Times New Roman" w:hAnsi="Times New Roman"/>
          <w:sz w:val="24"/>
          <w:szCs w:val="24"/>
        </w:rPr>
        <w:t>T</w:t>
      </w:r>
      <w:r w:rsidR="00F67EDF">
        <w:rPr>
          <w:rFonts w:ascii="Times New Roman" w:hAnsi="Times New Roman"/>
          <w:sz w:val="24"/>
          <w:szCs w:val="24"/>
        </w:rPr>
        <w:t xml:space="preserve">able </w:t>
      </w:r>
      <w:r w:rsidR="003A4C98">
        <w:rPr>
          <w:rFonts w:ascii="Times New Roman" w:hAnsi="Times New Roman"/>
          <w:sz w:val="24"/>
          <w:szCs w:val="24"/>
        </w:rPr>
        <w:t>5.3</w:t>
      </w:r>
      <w:r w:rsidR="00F67EDF">
        <w:rPr>
          <w:rFonts w:ascii="Times New Roman" w:hAnsi="Times New Roman"/>
          <w:sz w:val="24"/>
          <w:szCs w:val="24"/>
        </w:rPr>
        <w:t xml:space="preserve"> below), but fewer enter science and mathematics based programs and an even higher percentage of them fail to complete these programs compared to their male counterparts( Griffin, 2007). This is because</w:t>
      </w:r>
      <w:r w:rsidR="00F67EDF" w:rsidRPr="00392CF2">
        <w:rPr>
          <w:rFonts w:ascii="Times New Roman" w:hAnsi="Times New Roman"/>
          <w:sz w:val="24"/>
          <w:szCs w:val="24"/>
        </w:rPr>
        <w:t xml:space="preserve"> children from poor/</w:t>
      </w:r>
      <w:r w:rsidR="00F67EDF">
        <w:rPr>
          <w:rFonts w:ascii="Times New Roman" w:hAnsi="Times New Roman"/>
          <w:sz w:val="24"/>
          <w:szCs w:val="24"/>
        </w:rPr>
        <w:t>marginalized backgrounds (most of whom are female)</w:t>
      </w:r>
      <w:r w:rsidR="00F67EDF" w:rsidRPr="00392CF2">
        <w:rPr>
          <w:rFonts w:ascii="Times New Roman" w:hAnsi="Times New Roman"/>
          <w:sz w:val="24"/>
          <w:szCs w:val="24"/>
        </w:rPr>
        <w:t xml:space="preserve"> generally attend poorly resourced schools; they do not perform as </w:t>
      </w:r>
      <w:r w:rsidR="00F67EDF">
        <w:rPr>
          <w:rFonts w:ascii="Times New Roman" w:hAnsi="Times New Roman"/>
          <w:sz w:val="24"/>
          <w:szCs w:val="24"/>
        </w:rPr>
        <w:t>well</w:t>
      </w:r>
      <w:r w:rsidR="00F67EDF" w:rsidRPr="00392CF2">
        <w:rPr>
          <w:rFonts w:ascii="Times New Roman" w:hAnsi="Times New Roman"/>
          <w:sz w:val="24"/>
          <w:szCs w:val="24"/>
        </w:rPr>
        <w:t xml:space="preserve"> as the others even when they meet the university admission </w:t>
      </w:r>
      <w:r w:rsidR="00F67EDF">
        <w:rPr>
          <w:rFonts w:ascii="Times New Roman" w:hAnsi="Times New Roman"/>
          <w:sz w:val="24"/>
          <w:szCs w:val="24"/>
        </w:rPr>
        <w:t>criteria and for those who access universities in different academic programs, university environments and academic programmes have not been made gender responsive. To the contrary, female students often encounter gender-biased environments and course content that results in drop out or underachievement (Griffin 2007).</w:t>
      </w:r>
      <w:r w:rsidR="00F67EDF" w:rsidRPr="00392CF2">
        <w:rPr>
          <w:rFonts w:ascii="Times New Roman" w:hAnsi="Times New Roman"/>
          <w:sz w:val="24"/>
          <w:szCs w:val="24"/>
        </w:rPr>
        <w:t xml:space="preserve"> Since admission into professional courses is also competitive and dependant on performance in specific cluster subjects</w:t>
      </w:r>
      <w:r w:rsidR="00F67EDF">
        <w:rPr>
          <w:rFonts w:ascii="Times New Roman" w:hAnsi="Times New Roman"/>
          <w:sz w:val="24"/>
          <w:szCs w:val="24"/>
        </w:rPr>
        <w:t>, most female students end up</w:t>
      </w:r>
      <w:r w:rsidR="00F67EDF" w:rsidRPr="00392CF2">
        <w:rPr>
          <w:rFonts w:ascii="Times New Roman" w:hAnsi="Times New Roman"/>
          <w:sz w:val="24"/>
          <w:szCs w:val="24"/>
        </w:rPr>
        <w:t xml:space="preserve"> being placed in general Arts and Humanities courses.</w:t>
      </w:r>
    </w:p>
    <w:p w:rsidR="00F67EDF" w:rsidRDefault="00F67EDF" w:rsidP="00F67EDF">
      <w:pPr>
        <w:spacing w:line="360" w:lineRule="auto"/>
        <w:contextualSpacing/>
        <w:jc w:val="both"/>
        <w:rPr>
          <w:rFonts w:ascii="Times New Roman" w:hAnsi="Times New Roman"/>
          <w:b/>
          <w:bCs/>
          <w:sz w:val="24"/>
          <w:szCs w:val="24"/>
        </w:rPr>
      </w:pPr>
    </w:p>
    <w:p w:rsidR="00F67EDF" w:rsidRDefault="00F405AD" w:rsidP="00F67EDF">
      <w:pPr>
        <w:spacing w:line="360" w:lineRule="auto"/>
        <w:contextualSpacing/>
        <w:jc w:val="both"/>
        <w:rPr>
          <w:rFonts w:ascii="Times New Roman" w:hAnsi="Times New Roman"/>
          <w:bCs/>
          <w:sz w:val="24"/>
          <w:szCs w:val="24"/>
        </w:rPr>
      </w:pPr>
      <w:r>
        <w:rPr>
          <w:rFonts w:ascii="Times New Roman" w:hAnsi="Times New Roman"/>
          <w:bCs/>
          <w:sz w:val="24"/>
          <w:szCs w:val="24"/>
        </w:rPr>
        <w:t xml:space="preserve">      </w:t>
      </w:r>
      <w:r w:rsidR="00F67EDF">
        <w:rPr>
          <w:rFonts w:ascii="Times New Roman" w:hAnsi="Times New Roman"/>
          <w:bCs/>
          <w:sz w:val="24"/>
          <w:szCs w:val="24"/>
        </w:rPr>
        <w:t xml:space="preserve">Table </w:t>
      </w:r>
      <w:r w:rsidR="000F7979">
        <w:rPr>
          <w:rFonts w:ascii="Times New Roman" w:hAnsi="Times New Roman"/>
          <w:bCs/>
          <w:sz w:val="24"/>
          <w:szCs w:val="24"/>
        </w:rPr>
        <w:t>5.</w:t>
      </w:r>
      <w:r w:rsidR="00F67EDF">
        <w:rPr>
          <w:rFonts w:ascii="Times New Roman" w:hAnsi="Times New Roman"/>
          <w:bCs/>
          <w:sz w:val="24"/>
          <w:szCs w:val="24"/>
        </w:rPr>
        <w:t>3 shows enro</w:t>
      </w:r>
      <w:r w:rsidR="000F7979">
        <w:rPr>
          <w:rFonts w:ascii="Times New Roman" w:hAnsi="Times New Roman"/>
          <w:bCs/>
          <w:sz w:val="24"/>
          <w:szCs w:val="24"/>
        </w:rPr>
        <w:t>l</w:t>
      </w:r>
      <w:r w:rsidR="00F67EDF">
        <w:rPr>
          <w:rFonts w:ascii="Times New Roman" w:hAnsi="Times New Roman"/>
          <w:bCs/>
          <w:sz w:val="24"/>
          <w:szCs w:val="24"/>
        </w:rPr>
        <w:t>lment trends by gender and course at the University of Nairobi for the academic years 1996</w:t>
      </w:r>
      <w:r w:rsidR="000F7979">
        <w:rPr>
          <w:rFonts w:ascii="Times New Roman" w:hAnsi="Times New Roman"/>
          <w:bCs/>
          <w:sz w:val="24"/>
          <w:szCs w:val="24"/>
        </w:rPr>
        <w:t>-</w:t>
      </w:r>
      <w:r w:rsidR="00F67EDF">
        <w:rPr>
          <w:rFonts w:ascii="Times New Roman" w:hAnsi="Times New Roman"/>
          <w:bCs/>
          <w:sz w:val="24"/>
          <w:szCs w:val="24"/>
        </w:rPr>
        <w:t>97 to 2004</w:t>
      </w:r>
      <w:r w:rsidR="000F7979">
        <w:rPr>
          <w:rFonts w:ascii="Times New Roman" w:hAnsi="Times New Roman"/>
          <w:bCs/>
          <w:sz w:val="24"/>
          <w:szCs w:val="24"/>
        </w:rPr>
        <w:t>-</w:t>
      </w:r>
      <w:r w:rsidR="00F67EDF">
        <w:rPr>
          <w:rFonts w:ascii="Times New Roman" w:hAnsi="Times New Roman"/>
          <w:bCs/>
          <w:sz w:val="24"/>
          <w:szCs w:val="24"/>
        </w:rPr>
        <w:t>05. Though this data is not up-to-date, it serves to illustrate the pattern of female students’ restricted access to science and mathematics based academic programs.</w:t>
      </w:r>
    </w:p>
    <w:p w:rsidR="00F67EDF" w:rsidRDefault="00F67EDF" w:rsidP="00F67EDF">
      <w:pPr>
        <w:spacing w:line="360" w:lineRule="auto"/>
        <w:contextualSpacing/>
        <w:jc w:val="both"/>
        <w:rPr>
          <w:rFonts w:ascii="Times New Roman" w:hAnsi="Times New Roman"/>
          <w:bCs/>
          <w:sz w:val="24"/>
          <w:szCs w:val="24"/>
        </w:rPr>
      </w:pPr>
    </w:p>
    <w:p w:rsidR="00F67EDF" w:rsidRDefault="000F7979" w:rsidP="00F67EDF">
      <w:pPr>
        <w:spacing w:line="240" w:lineRule="auto"/>
        <w:contextualSpacing/>
        <w:jc w:val="both"/>
        <w:rPr>
          <w:rFonts w:ascii="Times New Roman" w:hAnsi="Times New Roman"/>
          <w:bCs/>
          <w:sz w:val="24"/>
          <w:szCs w:val="24"/>
        </w:rPr>
      </w:pPr>
      <w:r>
        <w:rPr>
          <w:rFonts w:ascii="Times New Roman" w:hAnsi="Times New Roman"/>
          <w:bCs/>
          <w:sz w:val="24"/>
          <w:szCs w:val="24"/>
        </w:rPr>
        <w:t xml:space="preserve">TABLE 5.3: ENROLMENT TRENDS BY GENDER AND COURSE AT THE UNIVERSITY OF NAIROBI </w:t>
      </w:r>
    </w:p>
    <w:p w:rsidR="000F7979" w:rsidRDefault="000F7979" w:rsidP="00F67EDF">
      <w:pPr>
        <w:spacing w:line="240" w:lineRule="auto"/>
        <w:contextualSpacing/>
        <w:jc w:val="both"/>
        <w:rPr>
          <w:rFonts w:ascii="Times New Roman" w:hAnsi="Times New Roman"/>
          <w:bCs/>
          <w:sz w:val="24"/>
          <w:szCs w:val="24"/>
        </w:rPr>
      </w:pPr>
    </w:p>
    <w:tbl>
      <w:tblPr>
        <w:tblW w:w="5686" w:type="pc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0"/>
        <w:gridCol w:w="720"/>
        <w:gridCol w:w="344"/>
        <w:gridCol w:w="466"/>
        <w:gridCol w:w="719"/>
        <w:gridCol w:w="518"/>
        <w:gridCol w:w="381"/>
        <w:gridCol w:w="719"/>
        <w:gridCol w:w="240"/>
        <w:gridCol w:w="486"/>
        <w:gridCol w:w="719"/>
        <w:gridCol w:w="320"/>
        <w:gridCol w:w="490"/>
        <w:gridCol w:w="721"/>
        <w:gridCol w:w="129"/>
        <w:gridCol w:w="588"/>
        <w:gridCol w:w="721"/>
        <w:gridCol w:w="719"/>
      </w:tblGrid>
      <w:tr w:rsidR="000F7979"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Course/Degree</w:t>
            </w:r>
          </w:p>
        </w:tc>
        <w:tc>
          <w:tcPr>
            <w:tcW w:w="702" w:type="pct"/>
            <w:gridSpan w:val="3"/>
            <w:shd w:val="clear" w:color="auto" w:fill="BFBFBF"/>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1996/97</w:t>
            </w:r>
          </w:p>
        </w:tc>
        <w:tc>
          <w:tcPr>
            <w:tcW w:w="743" w:type="pct"/>
            <w:gridSpan w:val="3"/>
            <w:shd w:val="clear" w:color="auto" w:fill="BFBFBF"/>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1998/99</w:t>
            </w:r>
          </w:p>
        </w:tc>
        <w:tc>
          <w:tcPr>
            <w:tcW w:w="663" w:type="pct"/>
            <w:gridSpan w:val="3"/>
            <w:shd w:val="clear" w:color="auto" w:fill="BFBFBF"/>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2000/01</w:t>
            </w:r>
          </w:p>
        </w:tc>
        <w:tc>
          <w:tcPr>
            <w:tcW w:w="702" w:type="pct"/>
            <w:gridSpan w:val="3"/>
            <w:shd w:val="clear" w:color="auto" w:fill="BFBFBF"/>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2002/03</w:t>
            </w:r>
          </w:p>
        </w:tc>
        <w:tc>
          <w:tcPr>
            <w:tcW w:w="660" w:type="pct"/>
            <w:gridSpan w:val="3"/>
            <w:shd w:val="clear" w:color="auto" w:fill="BFBFBF"/>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2004/05</w:t>
            </w:r>
          </w:p>
        </w:tc>
        <w:tc>
          <w:tcPr>
            <w:tcW w:w="661" w:type="pct"/>
            <w:gridSpan w:val="2"/>
            <w:shd w:val="clear" w:color="auto" w:fill="BFBFBF"/>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Total %</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p>
        </w:tc>
        <w:tc>
          <w:tcPr>
            <w:tcW w:w="331" w:type="pct"/>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M</w:t>
            </w:r>
          </w:p>
        </w:tc>
        <w:tc>
          <w:tcPr>
            <w:tcW w:w="372" w:type="pct"/>
            <w:gridSpan w:val="2"/>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F</w:t>
            </w:r>
          </w:p>
        </w:tc>
        <w:tc>
          <w:tcPr>
            <w:tcW w:w="330" w:type="pct"/>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M</w:t>
            </w:r>
          </w:p>
        </w:tc>
        <w:tc>
          <w:tcPr>
            <w:tcW w:w="413" w:type="pct"/>
            <w:gridSpan w:val="2"/>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F</w:t>
            </w:r>
          </w:p>
        </w:tc>
        <w:tc>
          <w:tcPr>
            <w:tcW w:w="330" w:type="pct"/>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M</w:t>
            </w:r>
          </w:p>
        </w:tc>
        <w:tc>
          <w:tcPr>
            <w:tcW w:w="333" w:type="pct"/>
            <w:gridSpan w:val="2"/>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F</w:t>
            </w:r>
          </w:p>
        </w:tc>
        <w:tc>
          <w:tcPr>
            <w:tcW w:w="330" w:type="pct"/>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M</w:t>
            </w:r>
          </w:p>
        </w:tc>
        <w:tc>
          <w:tcPr>
            <w:tcW w:w="372" w:type="pct"/>
            <w:gridSpan w:val="2"/>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F</w:t>
            </w:r>
          </w:p>
        </w:tc>
        <w:tc>
          <w:tcPr>
            <w:tcW w:w="331" w:type="pct"/>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M</w:t>
            </w:r>
          </w:p>
        </w:tc>
        <w:tc>
          <w:tcPr>
            <w:tcW w:w="329" w:type="pct"/>
            <w:gridSpan w:val="2"/>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F</w:t>
            </w:r>
          </w:p>
        </w:tc>
        <w:tc>
          <w:tcPr>
            <w:tcW w:w="331" w:type="pct"/>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M</w:t>
            </w:r>
          </w:p>
        </w:tc>
        <w:tc>
          <w:tcPr>
            <w:tcW w:w="331" w:type="pct"/>
            <w:shd w:val="clear" w:color="auto" w:fill="BFBFBF"/>
          </w:tcPr>
          <w:p w:rsidR="00F67EDF" w:rsidRPr="00404D3C" w:rsidRDefault="000F7979" w:rsidP="0074580D">
            <w:pPr>
              <w:spacing w:line="240" w:lineRule="auto"/>
              <w:contextualSpacing/>
              <w:jc w:val="both"/>
              <w:rPr>
                <w:rFonts w:ascii="Times New Roman" w:hAnsi="Times New Roman"/>
                <w:bCs/>
                <w:sz w:val="20"/>
                <w:szCs w:val="20"/>
              </w:rPr>
            </w:pPr>
            <w:r>
              <w:rPr>
                <w:rFonts w:ascii="Times New Roman" w:hAnsi="Times New Roman"/>
                <w:bCs/>
                <w:sz w:val="20"/>
                <w:szCs w:val="20"/>
              </w:rPr>
              <w:t>F</w:t>
            </w:r>
          </w:p>
        </w:tc>
      </w:tr>
      <w:tr w:rsidR="00AB1B50" w:rsidRPr="00404D3C" w:rsidTr="00AB1B50">
        <w:tc>
          <w:tcPr>
            <w:tcW w:w="868" w:type="pct"/>
            <w:shd w:val="clear" w:color="auto" w:fill="BFBFBF"/>
          </w:tcPr>
          <w:p w:rsidR="000F7979" w:rsidRDefault="00F67EDF" w:rsidP="000F7979">
            <w:pPr>
              <w:spacing w:line="240" w:lineRule="auto"/>
              <w:contextualSpacing/>
              <w:jc w:val="both"/>
              <w:rPr>
                <w:rFonts w:ascii="Times New Roman" w:hAnsi="Times New Roman"/>
                <w:bCs/>
                <w:sz w:val="20"/>
                <w:szCs w:val="20"/>
              </w:rPr>
            </w:pPr>
            <w:r w:rsidRPr="00404D3C">
              <w:rPr>
                <w:rFonts w:ascii="Times New Roman" w:hAnsi="Times New Roman"/>
                <w:bCs/>
                <w:sz w:val="20"/>
                <w:szCs w:val="20"/>
              </w:rPr>
              <w:t>Architecture</w:t>
            </w:r>
            <w:r w:rsidR="000F7979">
              <w:rPr>
                <w:rFonts w:ascii="Times New Roman" w:hAnsi="Times New Roman"/>
                <w:bCs/>
                <w:sz w:val="20"/>
                <w:szCs w:val="20"/>
              </w:rPr>
              <w:t xml:space="preserve"> &amp;</w:t>
            </w:r>
          </w:p>
          <w:p w:rsidR="00F67EDF" w:rsidRPr="00404D3C" w:rsidRDefault="00F67EDF" w:rsidP="000F7979">
            <w:pPr>
              <w:spacing w:line="240" w:lineRule="auto"/>
              <w:contextualSpacing/>
              <w:jc w:val="both"/>
              <w:rPr>
                <w:rFonts w:ascii="Times New Roman" w:hAnsi="Times New Roman"/>
                <w:bCs/>
                <w:sz w:val="20"/>
                <w:szCs w:val="20"/>
              </w:rPr>
            </w:pPr>
            <w:r w:rsidRPr="00404D3C">
              <w:rPr>
                <w:rFonts w:ascii="Times New Roman" w:hAnsi="Times New Roman"/>
                <w:bCs/>
                <w:sz w:val="20"/>
                <w:szCs w:val="20"/>
              </w:rPr>
              <w:t>Engineering</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201</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478</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229</w:t>
            </w:r>
          </w:p>
        </w:tc>
        <w:tc>
          <w:tcPr>
            <w:tcW w:w="41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333</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219</w:t>
            </w:r>
          </w:p>
        </w:tc>
        <w:tc>
          <w:tcPr>
            <w:tcW w:w="33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404</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235</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498</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277</w:t>
            </w:r>
          </w:p>
        </w:tc>
        <w:tc>
          <w:tcPr>
            <w:tcW w:w="329"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546</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14.4</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85.6</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Agric/food technology</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144</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695</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190</w:t>
            </w:r>
          </w:p>
        </w:tc>
        <w:tc>
          <w:tcPr>
            <w:tcW w:w="41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660</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143</w:t>
            </w:r>
          </w:p>
        </w:tc>
        <w:tc>
          <w:tcPr>
            <w:tcW w:w="33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455</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156</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491</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197</w:t>
            </w:r>
          </w:p>
        </w:tc>
        <w:tc>
          <w:tcPr>
            <w:tcW w:w="329"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570</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22.6</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77.4</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lastRenderedPageBreak/>
              <w:t>Veterinary medicine</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43</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201</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30</w:t>
            </w:r>
          </w:p>
        </w:tc>
        <w:tc>
          <w:tcPr>
            <w:tcW w:w="41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177</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45</w:t>
            </w:r>
          </w:p>
        </w:tc>
        <w:tc>
          <w:tcPr>
            <w:tcW w:w="33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188</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54</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233</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88</w:t>
            </w:r>
          </w:p>
        </w:tc>
        <w:tc>
          <w:tcPr>
            <w:tcW w:w="329"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323</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18.4</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81.6</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Biological/physical sciences’</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299</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187</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244</w:t>
            </w:r>
          </w:p>
        </w:tc>
        <w:tc>
          <w:tcPr>
            <w:tcW w:w="41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989</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292</w:t>
            </w:r>
          </w:p>
        </w:tc>
        <w:tc>
          <w:tcPr>
            <w:tcW w:w="33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977</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381</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106</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492</w:t>
            </w:r>
          </w:p>
        </w:tc>
        <w:tc>
          <w:tcPr>
            <w:tcW w:w="329"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313</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23.2</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76.8</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Education</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515</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064</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587</w:t>
            </w:r>
          </w:p>
        </w:tc>
        <w:tc>
          <w:tcPr>
            <w:tcW w:w="41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947</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591</w:t>
            </w:r>
          </w:p>
        </w:tc>
        <w:tc>
          <w:tcPr>
            <w:tcW w:w="33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900</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527</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836</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651</w:t>
            </w:r>
          </w:p>
        </w:tc>
        <w:tc>
          <w:tcPr>
            <w:tcW w:w="329"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947</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41.2</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58.8</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Health Sciences</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275</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771</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322</w:t>
            </w:r>
          </w:p>
        </w:tc>
        <w:tc>
          <w:tcPr>
            <w:tcW w:w="41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724</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398</w:t>
            </w:r>
          </w:p>
        </w:tc>
        <w:tc>
          <w:tcPr>
            <w:tcW w:w="33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717</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368</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748</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393</w:t>
            </w:r>
          </w:p>
        </w:tc>
        <w:tc>
          <w:tcPr>
            <w:tcW w:w="329"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716</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32.2</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67.8</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Humanities</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444</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w:t>
            </w:r>
            <w:r w:rsidR="000F7979">
              <w:rPr>
                <w:rFonts w:ascii="Times New Roman" w:hAnsi="Times New Roman"/>
                <w:bCs/>
                <w:sz w:val="20"/>
                <w:szCs w:val="20"/>
              </w:rPr>
              <w:t>,</w:t>
            </w:r>
            <w:r w:rsidRPr="00404D3C">
              <w:rPr>
                <w:rFonts w:ascii="Times New Roman" w:hAnsi="Times New Roman"/>
                <w:bCs/>
                <w:sz w:val="20"/>
                <w:szCs w:val="20"/>
              </w:rPr>
              <w:t>271</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338</w:t>
            </w:r>
          </w:p>
        </w:tc>
        <w:tc>
          <w:tcPr>
            <w:tcW w:w="41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w:t>
            </w:r>
            <w:r w:rsidR="000F7979">
              <w:rPr>
                <w:rFonts w:ascii="Times New Roman" w:hAnsi="Times New Roman"/>
                <w:bCs/>
                <w:sz w:val="20"/>
                <w:szCs w:val="20"/>
              </w:rPr>
              <w:t>,</w:t>
            </w:r>
            <w:r w:rsidRPr="00404D3C">
              <w:rPr>
                <w:rFonts w:ascii="Times New Roman" w:hAnsi="Times New Roman"/>
                <w:bCs/>
                <w:sz w:val="20"/>
                <w:szCs w:val="20"/>
              </w:rPr>
              <w:t>689</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486</w:t>
            </w:r>
          </w:p>
        </w:tc>
        <w:tc>
          <w:tcPr>
            <w:tcW w:w="33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w:t>
            </w:r>
            <w:r w:rsidR="000F7979">
              <w:rPr>
                <w:rFonts w:ascii="Times New Roman" w:hAnsi="Times New Roman"/>
                <w:bCs/>
                <w:sz w:val="20"/>
                <w:szCs w:val="20"/>
              </w:rPr>
              <w:t>,</w:t>
            </w:r>
            <w:r w:rsidRPr="00404D3C">
              <w:rPr>
                <w:rFonts w:ascii="Times New Roman" w:hAnsi="Times New Roman"/>
                <w:bCs/>
                <w:sz w:val="20"/>
                <w:szCs w:val="20"/>
              </w:rPr>
              <w:t>858</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w:t>
            </w:r>
            <w:r w:rsidR="000F7979">
              <w:rPr>
                <w:rFonts w:ascii="Times New Roman" w:hAnsi="Times New Roman"/>
                <w:bCs/>
                <w:sz w:val="20"/>
                <w:szCs w:val="20"/>
              </w:rPr>
              <w:t>,</w:t>
            </w:r>
            <w:r w:rsidRPr="00404D3C">
              <w:rPr>
                <w:rFonts w:ascii="Times New Roman" w:hAnsi="Times New Roman"/>
                <w:bCs/>
                <w:sz w:val="20"/>
                <w:szCs w:val="20"/>
              </w:rPr>
              <w:t>692</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w:t>
            </w:r>
            <w:r w:rsidR="000F7979">
              <w:rPr>
                <w:rFonts w:ascii="Times New Roman" w:hAnsi="Times New Roman"/>
                <w:bCs/>
                <w:sz w:val="20"/>
                <w:szCs w:val="20"/>
              </w:rPr>
              <w:t>,</w:t>
            </w:r>
            <w:r w:rsidRPr="00404D3C">
              <w:rPr>
                <w:rFonts w:ascii="Times New Roman" w:hAnsi="Times New Roman"/>
                <w:bCs/>
                <w:sz w:val="20"/>
                <w:szCs w:val="20"/>
              </w:rPr>
              <w:t>563</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w:t>
            </w:r>
            <w:r w:rsidR="000F7979">
              <w:rPr>
                <w:rFonts w:ascii="Times New Roman" w:hAnsi="Times New Roman"/>
                <w:bCs/>
                <w:sz w:val="20"/>
                <w:szCs w:val="20"/>
              </w:rPr>
              <w:t>,</w:t>
            </w:r>
            <w:r w:rsidRPr="00404D3C">
              <w:rPr>
                <w:rFonts w:ascii="Times New Roman" w:hAnsi="Times New Roman"/>
                <w:bCs/>
                <w:sz w:val="20"/>
                <w:szCs w:val="20"/>
              </w:rPr>
              <w:t>504</w:t>
            </w:r>
          </w:p>
        </w:tc>
        <w:tc>
          <w:tcPr>
            <w:tcW w:w="329"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w:t>
            </w:r>
            <w:r w:rsidR="000F7979">
              <w:rPr>
                <w:rFonts w:ascii="Times New Roman" w:hAnsi="Times New Roman"/>
                <w:bCs/>
                <w:sz w:val="20"/>
                <w:szCs w:val="20"/>
              </w:rPr>
              <w:t>,</w:t>
            </w:r>
            <w:r w:rsidRPr="00404D3C">
              <w:rPr>
                <w:rFonts w:ascii="Times New Roman" w:hAnsi="Times New Roman"/>
                <w:bCs/>
                <w:sz w:val="20"/>
                <w:szCs w:val="20"/>
              </w:rPr>
              <w:t>201</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36.4</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63.6</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Computer science</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16</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87</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16</w:t>
            </w:r>
          </w:p>
        </w:tc>
        <w:tc>
          <w:tcPr>
            <w:tcW w:w="41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112</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15</w:t>
            </w:r>
          </w:p>
        </w:tc>
        <w:tc>
          <w:tcPr>
            <w:tcW w:w="33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122</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13</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144</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19</w:t>
            </w:r>
          </w:p>
        </w:tc>
        <w:tc>
          <w:tcPr>
            <w:tcW w:w="329"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121</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12.4</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87.6</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Total</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w:t>
            </w:r>
            <w:r w:rsidR="000F7979">
              <w:rPr>
                <w:rFonts w:ascii="Times New Roman" w:hAnsi="Times New Roman"/>
                <w:bCs/>
                <w:sz w:val="20"/>
                <w:szCs w:val="20"/>
              </w:rPr>
              <w:t>,</w:t>
            </w:r>
            <w:r w:rsidRPr="00404D3C">
              <w:rPr>
                <w:rFonts w:ascii="Times New Roman" w:hAnsi="Times New Roman"/>
                <w:bCs/>
                <w:sz w:val="20"/>
                <w:szCs w:val="20"/>
              </w:rPr>
              <w:t>937</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8</w:t>
            </w:r>
            <w:r w:rsidR="000F7979">
              <w:rPr>
                <w:rFonts w:ascii="Times New Roman" w:hAnsi="Times New Roman"/>
                <w:bCs/>
                <w:sz w:val="20"/>
                <w:szCs w:val="20"/>
              </w:rPr>
              <w:t>,</w:t>
            </w:r>
            <w:r w:rsidRPr="00404D3C">
              <w:rPr>
                <w:rFonts w:ascii="Times New Roman" w:hAnsi="Times New Roman"/>
                <w:bCs/>
                <w:sz w:val="20"/>
                <w:szCs w:val="20"/>
              </w:rPr>
              <w:t>754</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w:t>
            </w:r>
            <w:r w:rsidR="000F7979">
              <w:rPr>
                <w:rFonts w:ascii="Times New Roman" w:hAnsi="Times New Roman"/>
                <w:bCs/>
                <w:sz w:val="20"/>
                <w:szCs w:val="20"/>
              </w:rPr>
              <w:t>,</w:t>
            </w:r>
            <w:r w:rsidRPr="00404D3C">
              <w:rPr>
                <w:rFonts w:ascii="Times New Roman" w:hAnsi="Times New Roman"/>
                <w:bCs/>
                <w:sz w:val="20"/>
                <w:szCs w:val="20"/>
              </w:rPr>
              <w:t>956</w:t>
            </w:r>
          </w:p>
        </w:tc>
        <w:tc>
          <w:tcPr>
            <w:tcW w:w="41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w:t>
            </w:r>
            <w:r w:rsidR="000F7979">
              <w:rPr>
                <w:rFonts w:ascii="Times New Roman" w:hAnsi="Times New Roman"/>
                <w:bCs/>
                <w:sz w:val="20"/>
                <w:szCs w:val="20"/>
              </w:rPr>
              <w:t>,</w:t>
            </w:r>
            <w:r w:rsidRPr="00404D3C">
              <w:rPr>
                <w:rFonts w:ascii="Times New Roman" w:hAnsi="Times New Roman"/>
                <w:bCs/>
                <w:sz w:val="20"/>
                <w:szCs w:val="20"/>
              </w:rPr>
              <w:t>631</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w:t>
            </w:r>
            <w:r w:rsidR="000F7979">
              <w:rPr>
                <w:rFonts w:ascii="Times New Roman" w:hAnsi="Times New Roman"/>
                <w:bCs/>
                <w:sz w:val="20"/>
                <w:szCs w:val="20"/>
              </w:rPr>
              <w:t>,</w:t>
            </w:r>
            <w:r w:rsidRPr="00404D3C">
              <w:rPr>
                <w:rFonts w:ascii="Times New Roman" w:hAnsi="Times New Roman"/>
                <w:bCs/>
                <w:sz w:val="20"/>
                <w:szCs w:val="20"/>
              </w:rPr>
              <w:t>189</w:t>
            </w:r>
          </w:p>
        </w:tc>
        <w:tc>
          <w:tcPr>
            <w:tcW w:w="333"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w:t>
            </w:r>
            <w:r w:rsidR="000F7979">
              <w:rPr>
                <w:rFonts w:ascii="Times New Roman" w:hAnsi="Times New Roman"/>
                <w:bCs/>
                <w:sz w:val="20"/>
                <w:szCs w:val="20"/>
              </w:rPr>
              <w:t>,</w:t>
            </w:r>
            <w:r w:rsidRPr="00404D3C">
              <w:rPr>
                <w:rFonts w:ascii="Times New Roman" w:hAnsi="Times New Roman"/>
                <w:bCs/>
                <w:sz w:val="20"/>
                <w:szCs w:val="20"/>
              </w:rPr>
              <w:t>621</w:t>
            </w:r>
          </w:p>
        </w:tc>
        <w:tc>
          <w:tcPr>
            <w:tcW w:w="330"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3</w:t>
            </w:r>
            <w:r w:rsidR="000F7979">
              <w:rPr>
                <w:rFonts w:ascii="Times New Roman" w:hAnsi="Times New Roman"/>
                <w:bCs/>
                <w:sz w:val="20"/>
                <w:szCs w:val="20"/>
              </w:rPr>
              <w:t>,</w:t>
            </w:r>
            <w:r w:rsidRPr="00404D3C">
              <w:rPr>
                <w:rFonts w:ascii="Times New Roman" w:hAnsi="Times New Roman"/>
                <w:bCs/>
                <w:sz w:val="20"/>
                <w:szCs w:val="20"/>
              </w:rPr>
              <w:t>426</w:t>
            </w:r>
          </w:p>
        </w:tc>
        <w:tc>
          <w:tcPr>
            <w:tcW w:w="372"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w:t>
            </w:r>
            <w:r w:rsidR="000F7979">
              <w:rPr>
                <w:rFonts w:ascii="Times New Roman" w:hAnsi="Times New Roman"/>
                <w:bCs/>
                <w:sz w:val="20"/>
                <w:szCs w:val="20"/>
              </w:rPr>
              <w:t>,</w:t>
            </w:r>
            <w:r w:rsidRPr="00404D3C">
              <w:rPr>
                <w:rFonts w:ascii="Times New Roman" w:hAnsi="Times New Roman"/>
                <w:bCs/>
                <w:sz w:val="20"/>
                <w:szCs w:val="20"/>
              </w:rPr>
              <w:t>619</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4</w:t>
            </w:r>
            <w:r w:rsidR="000F7979">
              <w:rPr>
                <w:rFonts w:ascii="Times New Roman" w:hAnsi="Times New Roman"/>
                <w:bCs/>
                <w:sz w:val="20"/>
                <w:szCs w:val="20"/>
              </w:rPr>
              <w:t>,</w:t>
            </w:r>
            <w:r w:rsidRPr="00404D3C">
              <w:rPr>
                <w:rFonts w:ascii="Times New Roman" w:hAnsi="Times New Roman"/>
                <w:bCs/>
                <w:sz w:val="20"/>
                <w:szCs w:val="20"/>
              </w:rPr>
              <w:t>621</w:t>
            </w:r>
          </w:p>
        </w:tc>
        <w:tc>
          <w:tcPr>
            <w:tcW w:w="329" w:type="pct"/>
            <w:gridSpan w:val="2"/>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8</w:t>
            </w:r>
            <w:r w:rsidR="000F7979">
              <w:rPr>
                <w:rFonts w:ascii="Times New Roman" w:hAnsi="Times New Roman"/>
                <w:bCs/>
                <w:sz w:val="20"/>
                <w:szCs w:val="20"/>
              </w:rPr>
              <w:t>,</w:t>
            </w:r>
            <w:r w:rsidRPr="00404D3C">
              <w:rPr>
                <w:rFonts w:ascii="Times New Roman" w:hAnsi="Times New Roman"/>
                <w:bCs/>
                <w:sz w:val="20"/>
                <w:szCs w:val="20"/>
              </w:rPr>
              <w:t>737</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29.8</w:t>
            </w:r>
          </w:p>
        </w:tc>
        <w:tc>
          <w:tcPr>
            <w:tcW w:w="331" w:type="pct"/>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70.2</w:t>
            </w:r>
          </w:p>
        </w:tc>
      </w:tr>
      <w:tr w:rsidR="000F7979"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Percentages</w:t>
            </w:r>
          </w:p>
        </w:tc>
        <w:tc>
          <w:tcPr>
            <w:tcW w:w="702" w:type="pct"/>
            <w:gridSpan w:val="3"/>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11.691</w:t>
            </w:r>
          </w:p>
        </w:tc>
        <w:tc>
          <w:tcPr>
            <w:tcW w:w="743" w:type="pct"/>
            <w:gridSpan w:val="3"/>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10,587</w:t>
            </w:r>
          </w:p>
        </w:tc>
        <w:tc>
          <w:tcPr>
            <w:tcW w:w="663" w:type="pct"/>
            <w:gridSpan w:val="3"/>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10,810</w:t>
            </w:r>
          </w:p>
        </w:tc>
        <w:tc>
          <w:tcPr>
            <w:tcW w:w="702" w:type="pct"/>
            <w:gridSpan w:val="3"/>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11,045</w:t>
            </w:r>
          </w:p>
        </w:tc>
        <w:tc>
          <w:tcPr>
            <w:tcW w:w="660" w:type="pct"/>
            <w:gridSpan w:val="3"/>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13,358</w:t>
            </w:r>
          </w:p>
        </w:tc>
        <w:tc>
          <w:tcPr>
            <w:tcW w:w="331" w:type="pct"/>
            <w:shd w:val="clear" w:color="auto" w:fill="BFBFBF"/>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23.6</w:t>
            </w:r>
          </w:p>
        </w:tc>
        <w:tc>
          <w:tcPr>
            <w:tcW w:w="331" w:type="pct"/>
          </w:tcPr>
          <w:p w:rsidR="00F67EDF" w:rsidRPr="00404D3C" w:rsidRDefault="00F67EDF" w:rsidP="0074580D">
            <w:pPr>
              <w:spacing w:line="240" w:lineRule="auto"/>
              <w:contextualSpacing/>
              <w:jc w:val="center"/>
              <w:rPr>
                <w:rFonts w:ascii="Times New Roman" w:hAnsi="Times New Roman"/>
                <w:bCs/>
                <w:sz w:val="20"/>
                <w:szCs w:val="20"/>
              </w:rPr>
            </w:pPr>
            <w:r w:rsidRPr="00404D3C">
              <w:rPr>
                <w:rFonts w:ascii="Times New Roman" w:hAnsi="Times New Roman"/>
                <w:bCs/>
                <w:sz w:val="20"/>
                <w:szCs w:val="20"/>
              </w:rPr>
              <w:t>76.4</w:t>
            </w:r>
          </w:p>
        </w:tc>
      </w:tr>
      <w:tr w:rsidR="00AB1B50" w:rsidRPr="00404D3C" w:rsidTr="00AB1B50">
        <w:tc>
          <w:tcPr>
            <w:tcW w:w="868"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Average female %</w:t>
            </w:r>
          </w:p>
        </w:tc>
        <w:tc>
          <w:tcPr>
            <w:tcW w:w="489" w:type="pct"/>
            <w:gridSpan w:val="2"/>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27</w:t>
            </w:r>
          </w:p>
        </w:tc>
        <w:tc>
          <w:tcPr>
            <w:tcW w:w="214"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73</w:t>
            </w:r>
          </w:p>
        </w:tc>
        <w:tc>
          <w:tcPr>
            <w:tcW w:w="568" w:type="pct"/>
            <w:gridSpan w:val="2"/>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24</w:t>
            </w:r>
          </w:p>
        </w:tc>
        <w:tc>
          <w:tcPr>
            <w:tcW w:w="175"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76</w:t>
            </w:r>
          </w:p>
        </w:tc>
        <w:tc>
          <w:tcPr>
            <w:tcW w:w="440" w:type="pct"/>
            <w:gridSpan w:val="2"/>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26</w:t>
            </w:r>
          </w:p>
        </w:tc>
        <w:tc>
          <w:tcPr>
            <w:tcW w:w="223"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74</w:t>
            </w:r>
          </w:p>
        </w:tc>
        <w:tc>
          <w:tcPr>
            <w:tcW w:w="477" w:type="pct"/>
            <w:gridSpan w:val="2"/>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26</w:t>
            </w:r>
          </w:p>
        </w:tc>
        <w:tc>
          <w:tcPr>
            <w:tcW w:w="225"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74</w:t>
            </w:r>
          </w:p>
        </w:tc>
        <w:tc>
          <w:tcPr>
            <w:tcW w:w="390" w:type="pct"/>
            <w:gridSpan w:val="2"/>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29</w:t>
            </w:r>
          </w:p>
        </w:tc>
        <w:tc>
          <w:tcPr>
            <w:tcW w:w="270"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71</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26.4</w:t>
            </w:r>
          </w:p>
        </w:tc>
        <w:tc>
          <w:tcPr>
            <w:tcW w:w="331" w:type="pct"/>
            <w:shd w:val="clear" w:color="auto" w:fill="BFBFBF"/>
          </w:tcPr>
          <w:p w:rsidR="00F67EDF" w:rsidRPr="00404D3C" w:rsidRDefault="00F67EDF" w:rsidP="0074580D">
            <w:pPr>
              <w:spacing w:line="240" w:lineRule="auto"/>
              <w:contextualSpacing/>
              <w:jc w:val="both"/>
              <w:rPr>
                <w:rFonts w:ascii="Times New Roman" w:hAnsi="Times New Roman"/>
                <w:bCs/>
                <w:sz w:val="20"/>
                <w:szCs w:val="20"/>
              </w:rPr>
            </w:pPr>
            <w:r w:rsidRPr="00404D3C">
              <w:rPr>
                <w:rFonts w:ascii="Times New Roman" w:hAnsi="Times New Roman"/>
                <w:bCs/>
                <w:sz w:val="20"/>
                <w:szCs w:val="20"/>
              </w:rPr>
              <w:t>73.6</w:t>
            </w:r>
          </w:p>
        </w:tc>
      </w:tr>
    </w:tbl>
    <w:p w:rsidR="00F67EDF" w:rsidRDefault="00F67EDF" w:rsidP="00F67EDF">
      <w:pPr>
        <w:spacing w:line="240" w:lineRule="auto"/>
        <w:contextualSpacing/>
        <w:jc w:val="both"/>
        <w:rPr>
          <w:rFonts w:ascii="Times New Roman" w:hAnsi="Times New Roman"/>
          <w:bCs/>
          <w:sz w:val="24"/>
          <w:szCs w:val="24"/>
        </w:rPr>
      </w:pPr>
      <w:r>
        <w:rPr>
          <w:rFonts w:ascii="Times New Roman" w:hAnsi="Times New Roman"/>
          <w:bCs/>
          <w:sz w:val="24"/>
          <w:szCs w:val="24"/>
        </w:rPr>
        <w:t>Source: Griffin</w:t>
      </w:r>
      <w:r w:rsidR="003E391E">
        <w:rPr>
          <w:rFonts w:ascii="Times New Roman" w:hAnsi="Times New Roman"/>
          <w:bCs/>
          <w:sz w:val="24"/>
          <w:szCs w:val="24"/>
        </w:rPr>
        <w:t>,</w:t>
      </w:r>
      <w:r>
        <w:rPr>
          <w:rFonts w:ascii="Times New Roman" w:hAnsi="Times New Roman"/>
          <w:bCs/>
          <w:sz w:val="24"/>
          <w:szCs w:val="24"/>
        </w:rPr>
        <w:t xml:space="preserve"> 2007</w:t>
      </w:r>
    </w:p>
    <w:p w:rsidR="00F67EDF" w:rsidRDefault="00F67EDF" w:rsidP="00F67EDF">
      <w:pPr>
        <w:spacing w:line="240" w:lineRule="auto"/>
        <w:contextualSpacing/>
        <w:jc w:val="both"/>
        <w:rPr>
          <w:rFonts w:ascii="Times New Roman" w:hAnsi="Times New Roman"/>
          <w:bCs/>
          <w:sz w:val="24"/>
          <w:szCs w:val="24"/>
        </w:rPr>
      </w:pPr>
    </w:p>
    <w:p w:rsidR="003E391E"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Pr>
          <w:rFonts w:ascii="Times New Roman" w:hAnsi="Times New Roman"/>
          <w:sz w:val="24"/>
          <w:szCs w:val="24"/>
        </w:rPr>
        <w:t>As indicated by statistics from table</w:t>
      </w:r>
      <w:r w:rsidR="003E391E">
        <w:rPr>
          <w:rFonts w:ascii="Times New Roman" w:hAnsi="Times New Roman"/>
          <w:sz w:val="24"/>
          <w:szCs w:val="24"/>
        </w:rPr>
        <w:t xml:space="preserve"> 5.3</w:t>
      </w:r>
      <w:r w:rsidR="00F67EDF">
        <w:rPr>
          <w:rFonts w:ascii="Times New Roman" w:hAnsi="Times New Roman"/>
          <w:sz w:val="24"/>
          <w:szCs w:val="24"/>
        </w:rPr>
        <w:t>, female composition as a total of the students admitted to the institution and as a percentage of the students in key science and mathematics</w:t>
      </w:r>
      <w:r w:rsidR="003E391E">
        <w:rPr>
          <w:rFonts w:ascii="Times New Roman" w:hAnsi="Times New Roman"/>
          <w:sz w:val="24"/>
          <w:szCs w:val="24"/>
        </w:rPr>
        <w:t>-</w:t>
      </w:r>
      <w:r w:rsidR="00F67EDF">
        <w:rPr>
          <w:rFonts w:ascii="Times New Roman" w:hAnsi="Times New Roman"/>
          <w:sz w:val="24"/>
          <w:szCs w:val="24"/>
        </w:rPr>
        <w:t xml:space="preserve"> based courses remained low within the period. The highest total of female composition was in the 2004</w:t>
      </w:r>
      <w:r w:rsidR="003E391E">
        <w:rPr>
          <w:rFonts w:ascii="Times New Roman" w:hAnsi="Times New Roman"/>
          <w:sz w:val="24"/>
          <w:szCs w:val="24"/>
        </w:rPr>
        <w:t>-</w:t>
      </w:r>
      <w:r w:rsidR="00F67EDF">
        <w:rPr>
          <w:rFonts w:ascii="Times New Roman" w:hAnsi="Times New Roman"/>
          <w:sz w:val="24"/>
          <w:szCs w:val="24"/>
        </w:rPr>
        <w:t>05 academic year when they constituted 29</w:t>
      </w:r>
      <w:r w:rsidR="003E391E">
        <w:rPr>
          <w:rFonts w:ascii="Times New Roman" w:hAnsi="Times New Roman"/>
          <w:sz w:val="24"/>
          <w:szCs w:val="24"/>
        </w:rPr>
        <w:t xml:space="preserve"> percent</w:t>
      </w:r>
      <w:r w:rsidR="00F67EDF">
        <w:rPr>
          <w:rFonts w:ascii="Times New Roman" w:hAnsi="Times New Roman"/>
          <w:sz w:val="24"/>
          <w:szCs w:val="24"/>
        </w:rPr>
        <w:t xml:space="preserve"> of the students enrolled. In terms of courses enrolled, cumulatively, females were concentrated in education (41.2</w:t>
      </w:r>
      <w:r w:rsidR="003E391E">
        <w:rPr>
          <w:rFonts w:ascii="Times New Roman" w:hAnsi="Times New Roman"/>
          <w:sz w:val="24"/>
          <w:szCs w:val="24"/>
        </w:rPr>
        <w:t xml:space="preserve"> percent</w:t>
      </w:r>
      <w:r w:rsidR="00F67EDF">
        <w:rPr>
          <w:rFonts w:ascii="Times New Roman" w:hAnsi="Times New Roman"/>
          <w:sz w:val="24"/>
          <w:szCs w:val="24"/>
        </w:rPr>
        <w:t>) and humanities (36.4</w:t>
      </w:r>
      <w:r w:rsidR="003E391E">
        <w:rPr>
          <w:rFonts w:ascii="Times New Roman" w:hAnsi="Times New Roman"/>
          <w:sz w:val="24"/>
          <w:szCs w:val="24"/>
        </w:rPr>
        <w:t xml:space="preserve"> percent</w:t>
      </w:r>
      <w:r w:rsidR="00F67EDF">
        <w:rPr>
          <w:rFonts w:ascii="Times New Roman" w:hAnsi="Times New Roman"/>
          <w:sz w:val="24"/>
          <w:szCs w:val="24"/>
        </w:rPr>
        <w:t>). Their enro</w:t>
      </w:r>
      <w:r w:rsidR="003E391E">
        <w:rPr>
          <w:rFonts w:ascii="Times New Roman" w:hAnsi="Times New Roman"/>
          <w:sz w:val="24"/>
          <w:szCs w:val="24"/>
        </w:rPr>
        <w:t>l</w:t>
      </w:r>
      <w:r w:rsidR="00F67EDF">
        <w:rPr>
          <w:rFonts w:ascii="Times New Roman" w:hAnsi="Times New Roman"/>
          <w:sz w:val="24"/>
          <w:szCs w:val="24"/>
        </w:rPr>
        <w:t>lment in science and mathematics courses remained low, averaging below 20</w:t>
      </w:r>
      <w:r w:rsidR="003E391E">
        <w:rPr>
          <w:rFonts w:ascii="Times New Roman" w:hAnsi="Times New Roman"/>
          <w:sz w:val="24"/>
          <w:szCs w:val="24"/>
        </w:rPr>
        <w:t xml:space="preserve"> percent</w:t>
      </w:r>
      <w:r w:rsidR="00F67EDF">
        <w:rPr>
          <w:rFonts w:ascii="Times New Roman" w:hAnsi="Times New Roman"/>
          <w:sz w:val="24"/>
          <w:szCs w:val="24"/>
        </w:rPr>
        <w:t>, other than in health sciences, which recorded 32.2</w:t>
      </w:r>
      <w:r w:rsidR="003E391E">
        <w:rPr>
          <w:rFonts w:ascii="Times New Roman" w:hAnsi="Times New Roman"/>
          <w:sz w:val="24"/>
          <w:szCs w:val="24"/>
        </w:rPr>
        <w:t xml:space="preserve"> percent</w:t>
      </w:r>
      <w:r w:rsidR="00F67EDF">
        <w:rPr>
          <w:rFonts w:ascii="Times New Roman" w:hAnsi="Times New Roman"/>
          <w:sz w:val="24"/>
          <w:szCs w:val="24"/>
        </w:rPr>
        <w:t>.</w:t>
      </w:r>
    </w:p>
    <w:p w:rsidR="003E391E" w:rsidRDefault="003E391E" w:rsidP="00F67EDF">
      <w:pPr>
        <w:spacing w:line="360" w:lineRule="auto"/>
        <w:contextualSpacing/>
        <w:jc w:val="both"/>
        <w:rPr>
          <w:rFonts w:ascii="Times New Roman" w:hAnsi="Times New Roman"/>
          <w:sz w:val="24"/>
          <w:szCs w:val="24"/>
        </w:rPr>
      </w:pPr>
    </w:p>
    <w:p w:rsidR="00F67EDF" w:rsidRDefault="00F67EDF"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405AD">
        <w:rPr>
          <w:rFonts w:ascii="Times New Roman" w:hAnsi="Times New Roman"/>
          <w:sz w:val="24"/>
          <w:szCs w:val="24"/>
        </w:rPr>
        <w:t xml:space="preserve">      </w:t>
      </w:r>
      <w:r>
        <w:rPr>
          <w:rFonts w:ascii="Times New Roman" w:hAnsi="Times New Roman"/>
          <w:sz w:val="24"/>
          <w:szCs w:val="24"/>
        </w:rPr>
        <w:t>However, since these statistics are not aggregated by socio-economic and regional considerations, one is not able to comment conclusively on the equity implications. Besides</w:t>
      </w:r>
      <w:r w:rsidR="003E391E">
        <w:rPr>
          <w:rFonts w:ascii="Times New Roman" w:hAnsi="Times New Roman"/>
          <w:sz w:val="24"/>
          <w:szCs w:val="24"/>
        </w:rPr>
        <w:t>,</w:t>
      </w:r>
      <w:r>
        <w:rPr>
          <w:rFonts w:ascii="Times New Roman" w:hAnsi="Times New Roman"/>
          <w:sz w:val="24"/>
          <w:szCs w:val="24"/>
        </w:rPr>
        <w:t xml:space="preserve"> the slightly higher enro</w:t>
      </w:r>
      <w:r w:rsidR="003E391E">
        <w:rPr>
          <w:rFonts w:ascii="Times New Roman" w:hAnsi="Times New Roman"/>
          <w:sz w:val="24"/>
          <w:szCs w:val="24"/>
        </w:rPr>
        <w:t>l</w:t>
      </w:r>
      <w:r>
        <w:rPr>
          <w:rFonts w:ascii="Times New Roman" w:hAnsi="Times New Roman"/>
          <w:sz w:val="24"/>
          <w:szCs w:val="24"/>
        </w:rPr>
        <w:t xml:space="preserve">lment of female in </w:t>
      </w:r>
      <w:r w:rsidR="003E391E">
        <w:rPr>
          <w:rFonts w:ascii="Times New Roman" w:hAnsi="Times New Roman"/>
          <w:sz w:val="24"/>
          <w:szCs w:val="24"/>
        </w:rPr>
        <w:t>h</w:t>
      </w:r>
      <w:r>
        <w:rPr>
          <w:rFonts w:ascii="Times New Roman" w:hAnsi="Times New Roman"/>
          <w:sz w:val="24"/>
          <w:szCs w:val="24"/>
        </w:rPr>
        <w:t xml:space="preserve">ealth, </w:t>
      </w:r>
      <w:r w:rsidR="003E391E">
        <w:rPr>
          <w:rFonts w:ascii="Times New Roman" w:hAnsi="Times New Roman"/>
          <w:sz w:val="24"/>
          <w:szCs w:val="24"/>
        </w:rPr>
        <w:t>s</w:t>
      </w:r>
      <w:r>
        <w:rPr>
          <w:rFonts w:ascii="Times New Roman" w:hAnsi="Times New Roman"/>
          <w:sz w:val="24"/>
          <w:szCs w:val="24"/>
        </w:rPr>
        <w:t>ciences may be attributed to their high enro</w:t>
      </w:r>
      <w:r w:rsidR="003E391E">
        <w:rPr>
          <w:rFonts w:ascii="Times New Roman" w:hAnsi="Times New Roman"/>
          <w:sz w:val="24"/>
          <w:szCs w:val="24"/>
        </w:rPr>
        <w:t>l</w:t>
      </w:r>
      <w:r>
        <w:rPr>
          <w:rFonts w:ascii="Times New Roman" w:hAnsi="Times New Roman"/>
          <w:sz w:val="24"/>
          <w:szCs w:val="24"/>
        </w:rPr>
        <w:t xml:space="preserve">lment in nursing sciences. However, data in </w:t>
      </w:r>
      <w:r w:rsidR="003E391E">
        <w:rPr>
          <w:rFonts w:ascii="Times New Roman" w:hAnsi="Times New Roman"/>
          <w:sz w:val="24"/>
          <w:szCs w:val="24"/>
        </w:rPr>
        <w:t>T</w:t>
      </w:r>
      <w:r>
        <w:rPr>
          <w:rFonts w:ascii="Times New Roman" w:hAnsi="Times New Roman"/>
          <w:sz w:val="24"/>
          <w:szCs w:val="24"/>
        </w:rPr>
        <w:t xml:space="preserve">able </w:t>
      </w:r>
      <w:r w:rsidR="003E391E">
        <w:rPr>
          <w:rFonts w:ascii="Times New Roman" w:hAnsi="Times New Roman"/>
          <w:sz w:val="24"/>
          <w:szCs w:val="24"/>
        </w:rPr>
        <w:t>5.</w:t>
      </w:r>
      <w:r>
        <w:rPr>
          <w:rFonts w:ascii="Times New Roman" w:hAnsi="Times New Roman"/>
          <w:sz w:val="24"/>
          <w:szCs w:val="24"/>
        </w:rPr>
        <w:t>4 capture information up to the 2004</w:t>
      </w:r>
      <w:r w:rsidR="003E391E">
        <w:rPr>
          <w:rFonts w:ascii="Times New Roman" w:hAnsi="Times New Roman"/>
          <w:sz w:val="24"/>
          <w:szCs w:val="24"/>
        </w:rPr>
        <w:t>-</w:t>
      </w:r>
      <w:r>
        <w:rPr>
          <w:rFonts w:ascii="Times New Roman" w:hAnsi="Times New Roman"/>
          <w:sz w:val="24"/>
          <w:szCs w:val="24"/>
        </w:rPr>
        <w:t xml:space="preserve">05 academic year. It serves to indicate trends in female enrolment in science and mathematics courses. A Similar trend exists in Nigeria as can be seen from data on students enrolment by discipline presented in Table </w:t>
      </w:r>
      <w:r w:rsidR="003E391E">
        <w:rPr>
          <w:rFonts w:ascii="Times New Roman" w:hAnsi="Times New Roman"/>
          <w:sz w:val="24"/>
          <w:szCs w:val="24"/>
        </w:rPr>
        <w:t>5.</w:t>
      </w:r>
      <w:r>
        <w:rPr>
          <w:rFonts w:ascii="Times New Roman" w:hAnsi="Times New Roman"/>
          <w:sz w:val="24"/>
          <w:szCs w:val="24"/>
        </w:rPr>
        <w:t>4 below for the University of Ibadan.</w:t>
      </w:r>
    </w:p>
    <w:p w:rsidR="00F67EDF" w:rsidRDefault="003E391E" w:rsidP="00F67EDF">
      <w:pPr>
        <w:pStyle w:val="HTMLPreformatted"/>
        <w:widowControl/>
        <w:spacing w:line="360" w:lineRule="auto"/>
        <w:rPr>
          <w:rFonts w:ascii="Times New Roman" w:hAnsi="Times New Roman"/>
          <w:sz w:val="24"/>
          <w:szCs w:val="24"/>
        </w:rPr>
      </w:pPr>
      <w:r w:rsidRPr="003E391E">
        <w:rPr>
          <w:rFonts w:ascii="Times New Roman" w:hAnsi="Times New Roman"/>
          <w:color w:val="auto"/>
          <w:sz w:val="24"/>
          <w:szCs w:val="24"/>
        </w:rPr>
        <w:t>TABL</w:t>
      </w:r>
      <w:r w:rsidRPr="003E391E">
        <w:rPr>
          <w:rFonts w:ascii="Times New Roman" w:hAnsi="Times New Roman"/>
          <w:sz w:val="24"/>
          <w:szCs w:val="24"/>
        </w:rPr>
        <w:t>E 5.4:</w:t>
      </w:r>
      <w:r>
        <w:rPr>
          <w:rFonts w:ascii="Times New Roman" w:hAnsi="Times New Roman"/>
          <w:sz w:val="24"/>
          <w:szCs w:val="24"/>
        </w:rPr>
        <w:t xml:space="preserve"> STUDENT ENROLMENTS BY DISCIPLINE AND GENDER AT THE UNIVERSITY OF IBADAN, NIGERIA 2004- 2005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6"/>
        <w:gridCol w:w="1596"/>
        <w:gridCol w:w="1596"/>
        <w:gridCol w:w="1596"/>
        <w:gridCol w:w="1596"/>
        <w:gridCol w:w="1596"/>
      </w:tblGrid>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b/>
              </w:rPr>
            </w:pPr>
            <w:r w:rsidRPr="00EC5FF8">
              <w:rPr>
                <w:rFonts w:ascii="Times New Roman" w:hAnsi="Times New Roman"/>
                <w:b/>
              </w:rPr>
              <w:t>Faculty</w:t>
            </w:r>
          </w:p>
        </w:tc>
        <w:tc>
          <w:tcPr>
            <w:tcW w:w="1596" w:type="dxa"/>
          </w:tcPr>
          <w:p w:rsidR="00F67EDF" w:rsidRPr="00EC5FF8" w:rsidRDefault="00F67EDF" w:rsidP="0074580D">
            <w:pPr>
              <w:pStyle w:val="HTMLPreformatted"/>
              <w:widowControl/>
              <w:spacing w:line="360" w:lineRule="auto"/>
              <w:rPr>
                <w:rFonts w:ascii="Times New Roman" w:hAnsi="Times New Roman"/>
                <w:b/>
              </w:rPr>
            </w:pPr>
            <w:r w:rsidRPr="00EC5FF8">
              <w:rPr>
                <w:rFonts w:ascii="Times New Roman" w:hAnsi="Times New Roman"/>
                <w:b/>
              </w:rPr>
              <w:t>Female</w:t>
            </w:r>
          </w:p>
        </w:tc>
        <w:tc>
          <w:tcPr>
            <w:tcW w:w="1596" w:type="dxa"/>
          </w:tcPr>
          <w:p w:rsidR="00F67EDF" w:rsidRPr="00EC5FF8" w:rsidRDefault="00F67EDF" w:rsidP="0074580D">
            <w:pPr>
              <w:pStyle w:val="HTMLPreformatted"/>
              <w:widowControl/>
              <w:spacing w:line="360" w:lineRule="auto"/>
              <w:rPr>
                <w:rFonts w:ascii="Times New Roman" w:hAnsi="Times New Roman"/>
                <w:b/>
              </w:rPr>
            </w:pPr>
            <w:r w:rsidRPr="00EC5FF8">
              <w:rPr>
                <w:rFonts w:ascii="Times New Roman" w:hAnsi="Times New Roman"/>
                <w:b/>
              </w:rPr>
              <w:t>Percentages</w:t>
            </w:r>
          </w:p>
        </w:tc>
        <w:tc>
          <w:tcPr>
            <w:tcW w:w="1596" w:type="dxa"/>
          </w:tcPr>
          <w:p w:rsidR="00F67EDF" w:rsidRPr="00EC5FF8" w:rsidRDefault="00F67EDF" w:rsidP="0074580D">
            <w:pPr>
              <w:pStyle w:val="HTMLPreformatted"/>
              <w:widowControl/>
              <w:spacing w:line="360" w:lineRule="auto"/>
              <w:rPr>
                <w:rFonts w:ascii="Times New Roman" w:hAnsi="Times New Roman"/>
                <w:b/>
              </w:rPr>
            </w:pPr>
            <w:r w:rsidRPr="00EC5FF8">
              <w:rPr>
                <w:rFonts w:ascii="Times New Roman" w:hAnsi="Times New Roman"/>
                <w:b/>
              </w:rPr>
              <w:t>Male</w:t>
            </w:r>
          </w:p>
        </w:tc>
        <w:tc>
          <w:tcPr>
            <w:tcW w:w="1596" w:type="dxa"/>
          </w:tcPr>
          <w:p w:rsidR="00F67EDF" w:rsidRPr="00EC5FF8" w:rsidRDefault="003E391E" w:rsidP="0074580D">
            <w:pPr>
              <w:pStyle w:val="HTMLPreformatted"/>
              <w:widowControl/>
              <w:spacing w:line="360" w:lineRule="auto"/>
              <w:rPr>
                <w:rFonts w:ascii="Times New Roman" w:hAnsi="Times New Roman"/>
                <w:b/>
              </w:rPr>
            </w:pPr>
            <w:r>
              <w:rPr>
                <w:rFonts w:ascii="Times New Roman" w:hAnsi="Times New Roman"/>
                <w:b/>
              </w:rPr>
              <w:t>P</w:t>
            </w:r>
            <w:r w:rsidR="00F67EDF" w:rsidRPr="00EC5FF8">
              <w:rPr>
                <w:rFonts w:ascii="Times New Roman" w:hAnsi="Times New Roman"/>
                <w:b/>
              </w:rPr>
              <w:t>ercentages</w:t>
            </w:r>
          </w:p>
        </w:tc>
        <w:tc>
          <w:tcPr>
            <w:tcW w:w="1596" w:type="dxa"/>
          </w:tcPr>
          <w:p w:rsidR="00F67EDF" w:rsidRPr="00EC5FF8" w:rsidRDefault="00F67EDF" w:rsidP="0074580D">
            <w:pPr>
              <w:pStyle w:val="HTMLPreformatted"/>
              <w:widowControl/>
              <w:spacing w:line="360" w:lineRule="auto"/>
              <w:rPr>
                <w:rFonts w:ascii="Times New Roman" w:hAnsi="Times New Roman"/>
                <w:b/>
              </w:rPr>
            </w:pPr>
            <w:r w:rsidRPr="00EC5FF8">
              <w:rPr>
                <w:rFonts w:ascii="Times New Roman" w:hAnsi="Times New Roman"/>
                <w:b/>
              </w:rPr>
              <w:t>Total</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Arts</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656</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51.7</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614</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48.3</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w:t>
            </w:r>
            <w:r w:rsidR="00217D38">
              <w:rPr>
                <w:rFonts w:ascii="Times New Roman" w:hAnsi="Times New Roman"/>
              </w:rPr>
              <w:t>,</w:t>
            </w:r>
            <w:r w:rsidRPr="00EC5FF8">
              <w:rPr>
                <w:rFonts w:ascii="Times New Roman" w:hAnsi="Times New Roman"/>
              </w:rPr>
              <w:t>270</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Social Sciences</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477</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36.6</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828</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63.4</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w:t>
            </w:r>
            <w:r w:rsidR="00217D38">
              <w:rPr>
                <w:rFonts w:ascii="Times New Roman" w:hAnsi="Times New Roman"/>
              </w:rPr>
              <w:t>,</w:t>
            </w:r>
            <w:r w:rsidRPr="00EC5FF8">
              <w:rPr>
                <w:rFonts w:ascii="Times New Roman" w:hAnsi="Times New Roman"/>
              </w:rPr>
              <w:t>305</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Law</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208</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38.7</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329</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61.3</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557</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Science</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248</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36.3</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1138</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63.7</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w:t>
            </w:r>
            <w:r w:rsidR="00217D38">
              <w:rPr>
                <w:rFonts w:ascii="Times New Roman" w:hAnsi="Times New Roman"/>
              </w:rPr>
              <w:t>,</w:t>
            </w:r>
            <w:r w:rsidRPr="00EC5FF8">
              <w:rPr>
                <w:rFonts w:ascii="Times New Roman" w:hAnsi="Times New Roman"/>
              </w:rPr>
              <w:t>786</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lastRenderedPageBreak/>
              <w:t>Technology</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120</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11.5</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923</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88.5</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w:t>
            </w:r>
            <w:r w:rsidR="00217D38">
              <w:rPr>
                <w:rFonts w:ascii="Times New Roman" w:hAnsi="Times New Roman"/>
              </w:rPr>
              <w:t>,</w:t>
            </w:r>
            <w:r w:rsidRPr="00EC5FF8">
              <w:rPr>
                <w:rFonts w:ascii="Times New Roman" w:hAnsi="Times New Roman"/>
              </w:rPr>
              <w:t>043</w:t>
            </w:r>
          </w:p>
        </w:tc>
      </w:tr>
      <w:tr w:rsidR="00F67EDF" w:rsidRPr="00052B67" w:rsidTr="0074580D">
        <w:tc>
          <w:tcPr>
            <w:tcW w:w="1596" w:type="dxa"/>
          </w:tcPr>
          <w:p w:rsidR="00F67EDF" w:rsidRPr="00EC5FF8" w:rsidRDefault="00F67EDF" w:rsidP="00217D38">
            <w:pPr>
              <w:pStyle w:val="HTMLPreformatted"/>
              <w:widowControl/>
              <w:spacing w:line="360" w:lineRule="auto"/>
              <w:rPr>
                <w:rFonts w:ascii="Times New Roman" w:hAnsi="Times New Roman"/>
              </w:rPr>
            </w:pPr>
            <w:r w:rsidRPr="00EC5FF8">
              <w:rPr>
                <w:rFonts w:ascii="Times New Roman" w:hAnsi="Times New Roman"/>
              </w:rPr>
              <w:t xml:space="preserve">Agriculture and </w:t>
            </w:r>
            <w:r w:rsidR="00217D38">
              <w:rPr>
                <w:rFonts w:ascii="Times New Roman" w:hAnsi="Times New Roman"/>
              </w:rPr>
              <w:t>F</w:t>
            </w:r>
            <w:r w:rsidRPr="00EC5FF8">
              <w:rPr>
                <w:rFonts w:ascii="Times New Roman" w:hAnsi="Times New Roman"/>
              </w:rPr>
              <w:t>orestry</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473</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42.6</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637</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57.4</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w:t>
            </w:r>
            <w:r w:rsidR="00217D38">
              <w:rPr>
                <w:rFonts w:ascii="Times New Roman" w:hAnsi="Times New Roman"/>
              </w:rPr>
              <w:t>,</w:t>
            </w:r>
            <w:r w:rsidRPr="00EC5FF8">
              <w:rPr>
                <w:rFonts w:ascii="Times New Roman" w:hAnsi="Times New Roman"/>
              </w:rPr>
              <w:t>110</w:t>
            </w:r>
          </w:p>
        </w:tc>
      </w:tr>
      <w:tr w:rsidR="00F67EDF" w:rsidRPr="00052B67" w:rsidTr="0074580D">
        <w:tc>
          <w:tcPr>
            <w:tcW w:w="1596" w:type="dxa"/>
          </w:tcPr>
          <w:p w:rsidR="00F67EDF" w:rsidRPr="00EC5FF8" w:rsidRDefault="00F67EDF" w:rsidP="00217D38">
            <w:pPr>
              <w:pStyle w:val="HTMLPreformatted"/>
              <w:widowControl/>
              <w:spacing w:line="360" w:lineRule="auto"/>
              <w:rPr>
                <w:rFonts w:ascii="Times New Roman" w:hAnsi="Times New Roman"/>
              </w:rPr>
            </w:pPr>
            <w:r w:rsidRPr="00EC5FF8">
              <w:rPr>
                <w:rFonts w:ascii="Times New Roman" w:hAnsi="Times New Roman"/>
              </w:rPr>
              <w:t>Basic</w:t>
            </w:r>
            <w:r w:rsidR="00217D38">
              <w:rPr>
                <w:rFonts w:ascii="Times New Roman" w:hAnsi="Times New Roman"/>
              </w:rPr>
              <w:t xml:space="preserve"> M</w:t>
            </w:r>
            <w:r w:rsidRPr="00EC5FF8">
              <w:rPr>
                <w:rFonts w:ascii="Times New Roman" w:hAnsi="Times New Roman"/>
              </w:rPr>
              <w:t xml:space="preserve">edical </w:t>
            </w:r>
            <w:r w:rsidR="00217D38">
              <w:rPr>
                <w:rFonts w:ascii="Times New Roman" w:hAnsi="Times New Roman"/>
              </w:rPr>
              <w:t>S</w:t>
            </w:r>
            <w:r w:rsidRPr="00EC5FF8">
              <w:rPr>
                <w:rFonts w:ascii="Times New Roman" w:hAnsi="Times New Roman"/>
              </w:rPr>
              <w:t>ciences</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129</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40.8</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187</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59.2</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316</w:t>
            </w:r>
          </w:p>
        </w:tc>
      </w:tr>
      <w:tr w:rsidR="00F67EDF" w:rsidRPr="00052B67" w:rsidTr="0074580D">
        <w:tc>
          <w:tcPr>
            <w:tcW w:w="1596" w:type="dxa"/>
          </w:tcPr>
          <w:p w:rsidR="00F67EDF" w:rsidRPr="00EC5FF8" w:rsidRDefault="00F67EDF" w:rsidP="00217D38">
            <w:pPr>
              <w:pStyle w:val="HTMLPreformatted"/>
              <w:widowControl/>
              <w:spacing w:line="360" w:lineRule="auto"/>
              <w:rPr>
                <w:rFonts w:ascii="Times New Roman" w:hAnsi="Times New Roman"/>
              </w:rPr>
            </w:pPr>
            <w:r w:rsidRPr="00EC5FF8">
              <w:rPr>
                <w:rFonts w:ascii="Times New Roman" w:hAnsi="Times New Roman"/>
              </w:rPr>
              <w:t xml:space="preserve">Clinical </w:t>
            </w:r>
            <w:r w:rsidR="00217D38">
              <w:rPr>
                <w:rFonts w:ascii="Times New Roman" w:hAnsi="Times New Roman"/>
              </w:rPr>
              <w:t>S</w:t>
            </w:r>
            <w:r w:rsidRPr="00EC5FF8">
              <w:rPr>
                <w:rFonts w:ascii="Times New Roman" w:hAnsi="Times New Roman"/>
              </w:rPr>
              <w:t>ciences</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464</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41.5</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655</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58.5</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w:t>
            </w:r>
            <w:r w:rsidR="00217D38">
              <w:rPr>
                <w:rFonts w:ascii="Times New Roman" w:hAnsi="Times New Roman"/>
              </w:rPr>
              <w:t>,</w:t>
            </w:r>
            <w:r w:rsidRPr="00EC5FF8">
              <w:rPr>
                <w:rFonts w:ascii="Times New Roman" w:hAnsi="Times New Roman"/>
              </w:rPr>
              <w:t>119</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Dentistry</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59</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44.0</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75</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56.0</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134</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Pharmacy</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120</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56.6</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92</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43.4</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212</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Vet Medicine</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210</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38.7</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332</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61.3</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542</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Education</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682</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50.8</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658</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49.1</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w:t>
            </w:r>
            <w:r w:rsidR="00217D38">
              <w:rPr>
                <w:rFonts w:ascii="Times New Roman" w:hAnsi="Times New Roman"/>
              </w:rPr>
              <w:t>,</w:t>
            </w:r>
            <w:r w:rsidRPr="00EC5FF8">
              <w:rPr>
                <w:rFonts w:ascii="Times New Roman" w:hAnsi="Times New Roman"/>
              </w:rPr>
              <w:t>340</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Public Health</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67</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55.4</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54</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44.6</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121</w:t>
            </w:r>
          </w:p>
        </w:tc>
      </w:tr>
      <w:tr w:rsidR="00F67EDF" w:rsidRPr="00052B67" w:rsidTr="0074580D">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Total</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4,313</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39.8</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w:t>
            </w:r>
            <w:r w:rsidR="00217D38">
              <w:rPr>
                <w:rFonts w:ascii="Times New Roman" w:hAnsi="Times New Roman"/>
              </w:rPr>
              <w:t>,</w:t>
            </w:r>
            <w:r w:rsidRPr="00EC5FF8">
              <w:rPr>
                <w:rFonts w:ascii="Times New Roman" w:hAnsi="Times New Roman"/>
              </w:rPr>
              <w:t>522</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60.2</w:t>
            </w:r>
          </w:p>
        </w:tc>
        <w:tc>
          <w:tcPr>
            <w:tcW w:w="1596" w:type="dxa"/>
          </w:tcPr>
          <w:p w:rsidR="00F67EDF" w:rsidRPr="00EC5FF8" w:rsidRDefault="00F67EDF" w:rsidP="0074580D">
            <w:pPr>
              <w:pStyle w:val="HTMLPreformatted"/>
              <w:widowControl/>
              <w:spacing w:line="360" w:lineRule="auto"/>
              <w:rPr>
                <w:rFonts w:ascii="Times New Roman" w:hAnsi="Times New Roman"/>
              </w:rPr>
            </w:pPr>
            <w:r w:rsidRPr="00EC5FF8">
              <w:rPr>
                <w:rFonts w:ascii="Times New Roman" w:hAnsi="Times New Roman"/>
              </w:rPr>
              <w:t>10</w:t>
            </w:r>
            <w:r w:rsidR="00217D38">
              <w:rPr>
                <w:rFonts w:ascii="Times New Roman" w:hAnsi="Times New Roman"/>
              </w:rPr>
              <w:t>,</w:t>
            </w:r>
            <w:r w:rsidRPr="00EC5FF8">
              <w:rPr>
                <w:rFonts w:ascii="Times New Roman" w:hAnsi="Times New Roman"/>
              </w:rPr>
              <w:t>835</w:t>
            </w:r>
          </w:p>
        </w:tc>
      </w:tr>
    </w:tbl>
    <w:p w:rsidR="00F67EDF" w:rsidRDefault="00F67EDF" w:rsidP="00F67EDF">
      <w:pPr>
        <w:pStyle w:val="HTMLPreformatted"/>
        <w:widowControl/>
        <w:spacing w:line="360" w:lineRule="auto"/>
        <w:rPr>
          <w:rFonts w:ascii="Times New Roman" w:hAnsi="Times New Roman"/>
          <w:sz w:val="24"/>
          <w:szCs w:val="24"/>
        </w:rPr>
      </w:pPr>
      <w:r>
        <w:rPr>
          <w:rFonts w:ascii="Times New Roman" w:hAnsi="Times New Roman"/>
          <w:sz w:val="24"/>
          <w:szCs w:val="24"/>
        </w:rPr>
        <w:t>Source: Odejide, Feminist Africa: 2007:46</w:t>
      </w:r>
    </w:p>
    <w:p w:rsidR="00F67EDF" w:rsidRDefault="00F67EDF" w:rsidP="00F67EDF">
      <w:pPr>
        <w:spacing w:line="360" w:lineRule="auto"/>
        <w:contextualSpacing/>
        <w:jc w:val="both"/>
        <w:rPr>
          <w:rFonts w:ascii="Times New Roman" w:hAnsi="Times New Roman"/>
          <w:sz w:val="24"/>
          <w:szCs w:val="24"/>
        </w:rPr>
      </w:pPr>
    </w:p>
    <w:p w:rsidR="00F67EDF"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Pr>
          <w:rFonts w:ascii="Times New Roman" w:hAnsi="Times New Roman"/>
          <w:sz w:val="24"/>
          <w:szCs w:val="24"/>
        </w:rPr>
        <w:t>Table 5</w:t>
      </w:r>
      <w:r w:rsidR="00217D38">
        <w:rPr>
          <w:rFonts w:ascii="Times New Roman" w:hAnsi="Times New Roman"/>
          <w:sz w:val="24"/>
          <w:szCs w:val="24"/>
        </w:rPr>
        <w:t>.4</w:t>
      </w:r>
      <w:r w:rsidR="00F67EDF">
        <w:rPr>
          <w:rFonts w:ascii="Times New Roman" w:hAnsi="Times New Roman"/>
          <w:sz w:val="24"/>
          <w:szCs w:val="24"/>
        </w:rPr>
        <w:t xml:space="preserve"> illustrates trends in the limited access of female students to professional degree courses in Nigeria. From this example, percentage female admission is highest in Pharmacy (56.6</w:t>
      </w:r>
      <w:r w:rsidR="00217D38">
        <w:rPr>
          <w:rFonts w:ascii="Times New Roman" w:hAnsi="Times New Roman"/>
          <w:sz w:val="24"/>
          <w:szCs w:val="24"/>
        </w:rPr>
        <w:t xml:space="preserve"> percent</w:t>
      </w:r>
      <w:r w:rsidR="00F67EDF">
        <w:rPr>
          <w:rFonts w:ascii="Times New Roman" w:hAnsi="Times New Roman"/>
          <w:sz w:val="24"/>
          <w:szCs w:val="24"/>
        </w:rPr>
        <w:t>) and lowest in Science (36.3</w:t>
      </w:r>
      <w:r w:rsidR="00217D38">
        <w:rPr>
          <w:rFonts w:ascii="Times New Roman" w:hAnsi="Times New Roman"/>
          <w:sz w:val="24"/>
          <w:szCs w:val="24"/>
        </w:rPr>
        <w:t xml:space="preserve"> percent</w:t>
      </w:r>
      <w:r w:rsidR="00F67EDF">
        <w:rPr>
          <w:rFonts w:ascii="Times New Roman" w:hAnsi="Times New Roman"/>
          <w:sz w:val="24"/>
          <w:szCs w:val="24"/>
        </w:rPr>
        <w:t>) and Technology (11.5</w:t>
      </w:r>
      <w:r w:rsidR="00217D38">
        <w:rPr>
          <w:rFonts w:ascii="Times New Roman" w:hAnsi="Times New Roman"/>
          <w:sz w:val="24"/>
          <w:szCs w:val="24"/>
        </w:rPr>
        <w:t xml:space="preserve"> percent</w:t>
      </w:r>
      <w:r w:rsidR="00F67EDF">
        <w:rPr>
          <w:rFonts w:ascii="Times New Roman" w:hAnsi="Times New Roman"/>
          <w:sz w:val="24"/>
          <w:szCs w:val="24"/>
        </w:rPr>
        <w:t>).</w:t>
      </w:r>
    </w:p>
    <w:p w:rsidR="00F67EDF" w:rsidRDefault="00F67EDF" w:rsidP="00F67EDF">
      <w:pPr>
        <w:spacing w:line="360" w:lineRule="auto"/>
        <w:contextualSpacing/>
        <w:jc w:val="both"/>
        <w:rPr>
          <w:rFonts w:ascii="Times New Roman" w:hAnsi="Times New Roman"/>
          <w:sz w:val="24"/>
          <w:szCs w:val="24"/>
        </w:rPr>
      </w:pPr>
    </w:p>
    <w:p w:rsidR="00F67EDF"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Pr>
          <w:rFonts w:ascii="Times New Roman" w:hAnsi="Times New Roman"/>
          <w:sz w:val="24"/>
          <w:szCs w:val="24"/>
        </w:rPr>
        <w:t>A related issue is the percentage of female students who enrol</w:t>
      </w:r>
      <w:r w:rsidR="00217D38">
        <w:rPr>
          <w:rFonts w:ascii="Times New Roman" w:hAnsi="Times New Roman"/>
          <w:sz w:val="24"/>
          <w:szCs w:val="24"/>
        </w:rPr>
        <w:t>l</w:t>
      </w:r>
      <w:r w:rsidR="00F67EDF">
        <w:rPr>
          <w:rFonts w:ascii="Times New Roman" w:hAnsi="Times New Roman"/>
          <w:sz w:val="24"/>
          <w:szCs w:val="24"/>
        </w:rPr>
        <w:t xml:space="preserve"> and successfully complete science and mathematics based courses. Again</w:t>
      </w:r>
      <w:r w:rsidR="00217D38">
        <w:rPr>
          <w:rFonts w:ascii="Times New Roman" w:hAnsi="Times New Roman"/>
          <w:sz w:val="24"/>
          <w:szCs w:val="24"/>
        </w:rPr>
        <w:t>,</w:t>
      </w:r>
      <w:r w:rsidR="00F67EDF">
        <w:rPr>
          <w:rFonts w:ascii="Times New Roman" w:hAnsi="Times New Roman"/>
          <w:sz w:val="24"/>
          <w:szCs w:val="24"/>
        </w:rPr>
        <w:t xml:space="preserve"> comprehensive statistics for all the public universities in Kenya, showing rates of retention by gender in science and mathematics academic programmes are not available. Overall, there are studies pointing to a higher rate of female dropout from universities compared to male students. At Moi University, one of the public universities, 4.6</w:t>
      </w:r>
      <w:r w:rsidR="00217D38">
        <w:rPr>
          <w:rFonts w:ascii="Times New Roman" w:hAnsi="Times New Roman"/>
          <w:sz w:val="24"/>
          <w:szCs w:val="24"/>
        </w:rPr>
        <w:t xml:space="preserve"> percent</w:t>
      </w:r>
      <w:r w:rsidR="00F67EDF">
        <w:rPr>
          <w:rFonts w:ascii="Times New Roman" w:hAnsi="Times New Roman"/>
          <w:sz w:val="24"/>
          <w:szCs w:val="24"/>
        </w:rPr>
        <w:t xml:space="preserve"> of female students dropped out compared to 0.3</w:t>
      </w:r>
      <w:r w:rsidR="00217D38">
        <w:rPr>
          <w:rFonts w:ascii="Times New Roman" w:hAnsi="Times New Roman"/>
          <w:sz w:val="24"/>
          <w:szCs w:val="24"/>
        </w:rPr>
        <w:t xml:space="preserve"> percent</w:t>
      </w:r>
      <w:r w:rsidR="00F67EDF">
        <w:rPr>
          <w:rFonts w:ascii="Times New Roman" w:hAnsi="Times New Roman"/>
          <w:sz w:val="24"/>
          <w:szCs w:val="24"/>
        </w:rPr>
        <w:t xml:space="preserve"> male students between the 1999</w:t>
      </w:r>
      <w:r w:rsidR="00217D38">
        <w:rPr>
          <w:rFonts w:ascii="Times New Roman" w:hAnsi="Times New Roman"/>
          <w:sz w:val="24"/>
          <w:szCs w:val="24"/>
        </w:rPr>
        <w:t>-</w:t>
      </w:r>
      <w:r w:rsidR="00F67EDF">
        <w:rPr>
          <w:rFonts w:ascii="Times New Roman" w:hAnsi="Times New Roman"/>
          <w:sz w:val="24"/>
          <w:szCs w:val="24"/>
        </w:rPr>
        <w:t>2000 and 2003</w:t>
      </w:r>
      <w:r w:rsidR="00217D38">
        <w:rPr>
          <w:rFonts w:ascii="Times New Roman" w:hAnsi="Times New Roman"/>
          <w:sz w:val="24"/>
          <w:szCs w:val="24"/>
        </w:rPr>
        <w:t>-</w:t>
      </w:r>
      <w:r w:rsidR="00F67EDF">
        <w:rPr>
          <w:rFonts w:ascii="Times New Roman" w:hAnsi="Times New Roman"/>
          <w:sz w:val="24"/>
          <w:szCs w:val="24"/>
        </w:rPr>
        <w:t>04 academic years. In the school of medicine, the male dropout rate was 13</w:t>
      </w:r>
      <w:r w:rsidR="00217D38">
        <w:rPr>
          <w:rFonts w:ascii="Times New Roman" w:hAnsi="Times New Roman"/>
          <w:sz w:val="24"/>
          <w:szCs w:val="24"/>
        </w:rPr>
        <w:t xml:space="preserve"> percent</w:t>
      </w:r>
      <w:r w:rsidR="00F67EDF">
        <w:rPr>
          <w:rFonts w:ascii="Times New Roman" w:hAnsi="Times New Roman"/>
          <w:sz w:val="24"/>
          <w:szCs w:val="24"/>
        </w:rPr>
        <w:t xml:space="preserve"> compared to 21.3</w:t>
      </w:r>
      <w:r w:rsidR="00217D38">
        <w:rPr>
          <w:rFonts w:ascii="Times New Roman" w:hAnsi="Times New Roman"/>
          <w:sz w:val="24"/>
          <w:szCs w:val="24"/>
        </w:rPr>
        <w:t xml:space="preserve"> percent</w:t>
      </w:r>
      <w:r w:rsidR="00F67EDF">
        <w:rPr>
          <w:rFonts w:ascii="Times New Roman" w:hAnsi="Times New Roman"/>
          <w:sz w:val="24"/>
          <w:szCs w:val="24"/>
        </w:rPr>
        <w:t xml:space="preserve"> for females within the same period (Griffin, 2007). This shows that female students are not only fewer in terms of enro</w:t>
      </w:r>
      <w:r w:rsidR="00217D38">
        <w:rPr>
          <w:rFonts w:ascii="Times New Roman" w:hAnsi="Times New Roman"/>
          <w:sz w:val="24"/>
          <w:szCs w:val="24"/>
        </w:rPr>
        <w:t>l</w:t>
      </w:r>
      <w:r w:rsidR="00F67EDF">
        <w:rPr>
          <w:rFonts w:ascii="Times New Roman" w:hAnsi="Times New Roman"/>
          <w:sz w:val="24"/>
          <w:szCs w:val="24"/>
        </w:rPr>
        <w:t xml:space="preserve">lment in science and math courses, but their completion rates are also lower compared to those of male students. Again, if this data is aggregated by socio-economic profiles, then a clear picture </w:t>
      </w:r>
      <w:r w:rsidR="00217D38">
        <w:rPr>
          <w:rFonts w:ascii="Times New Roman" w:hAnsi="Times New Roman"/>
          <w:sz w:val="24"/>
          <w:szCs w:val="24"/>
        </w:rPr>
        <w:t xml:space="preserve">emerges </w:t>
      </w:r>
      <w:r w:rsidR="00F67EDF">
        <w:rPr>
          <w:rFonts w:ascii="Times New Roman" w:hAnsi="Times New Roman"/>
          <w:sz w:val="24"/>
          <w:szCs w:val="24"/>
        </w:rPr>
        <w:t>of how expanding higher education institutions in Africa are creating new zones of exclusion for female students.</w:t>
      </w:r>
    </w:p>
    <w:p w:rsidR="00F63BC4" w:rsidRDefault="00F67EDF" w:rsidP="00F67EDF">
      <w:pPr>
        <w:spacing w:line="36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00F405AD">
        <w:rPr>
          <w:rFonts w:ascii="Times New Roman" w:hAnsi="Times New Roman"/>
          <w:sz w:val="24"/>
          <w:szCs w:val="24"/>
        </w:rPr>
        <w:t xml:space="preserve">  </w:t>
      </w:r>
      <w:r>
        <w:rPr>
          <w:rFonts w:ascii="Times New Roman" w:hAnsi="Times New Roman"/>
          <w:sz w:val="24"/>
          <w:szCs w:val="24"/>
        </w:rPr>
        <w:t>Data from Kenya showing the percentage of females working in key research institutes can be used as a proxy indicator of the nature and percentage of female students successfully completing post-graduate programmes within time. The data, compiled by African Women in Agricultural Research and Development (AWARD)</w:t>
      </w:r>
      <w:r w:rsidR="00217D38">
        <w:rPr>
          <w:rFonts w:ascii="Times New Roman" w:hAnsi="Times New Roman"/>
          <w:sz w:val="24"/>
          <w:szCs w:val="24"/>
        </w:rPr>
        <w:t>,</w:t>
      </w:r>
      <w:r>
        <w:rPr>
          <w:rFonts w:ascii="Times New Roman" w:hAnsi="Times New Roman"/>
          <w:sz w:val="24"/>
          <w:szCs w:val="24"/>
        </w:rPr>
        <w:t xml:space="preserve"> reveal that in </w:t>
      </w:r>
      <w:r w:rsidRPr="0053263D">
        <w:rPr>
          <w:rFonts w:ascii="Times New Roman" w:hAnsi="Times New Roman"/>
          <w:sz w:val="24"/>
          <w:szCs w:val="24"/>
        </w:rPr>
        <w:t xml:space="preserve">2008,  five  of  Kenya’s  largest  agricultural  research  agencies  together  employed  967  professional  staff, </w:t>
      </w:r>
      <w:r>
        <w:rPr>
          <w:rFonts w:ascii="Times New Roman" w:hAnsi="Times New Roman"/>
          <w:sz w:val="24"/>
          <w:szCs w:val="24"/>
        </w:rPr>
        <w:t> of  which  25 or  26</w:t>
      </w:r>
      <w:r w:rsidR="00217D38">
        <w:rPr>
          <w:rFonts w:ascii="Times New Roman" w:hAnsi="Times New Roman"/>
          <w:sz w:val="24"/>
          <w:szCs w:val="24"/>
        </w:rPr>
        <w:t xml:space="preserve"> percent</w:t>
      </w:r>
      <w:r>
        <w:rPr>
          <w:rFonts w:ascii="Times New Roman" w:hAnsi="Times New Roman"/>
          <w:sz w:val="24"/>
          <w:szCs w:val="24"/>
        </w:rPr>
        <w:t xml:space="preserve"> </w:t>
      </w:r>
      <w:r w:rsidRPr="0053263D">
        <w:rPr>
          <w:rFonts w:ascii="Times New Roman" w:hAnsi="Times New Roman"/>
          <w:sz w:val="24"/>
          <w:szCs w:val="24"/>
        </w:rPr>
        <w:t>were  female.  The  share  of  female  professional  sta</w:t>
      </w:r>
      <w:r>
        <w:rPr>
          <w:rFonts w:ascii="Times New Roman" w:hAnsi="Times New Roman"/>
          <w:sz w:val="24"/>
          <w:szCs w:val="24"/>
        </w:rPr>
        <w:t xml:space="preserve">ff  increased  from  21 </w:t>
      </w:r>
      <w:r w:rsidR="00217D38">
        <w:rPr>
          <w:rFonts w:ascii="Times New Roman" w:hAnsi="Times New Roman"/>
          <w:sz w:val="24"/>
          <w:szCs w:val="24"/>
        </w:rPr>
        <w:t>percent</w:t>
      </w:r>
      <w:r>
        <w:rPr>
          <w:rFonts w:ascii="Times New Roman" w:hAnsi="Times New Roman"/>
          <w:sz w:val="24"/>
          <w:szCs w:val="24"/>
        </w:rPr>
        <w:t xml:space="preserve">  in  2000  to  26 </w:t>
      </w:r>
      <w:r w:rsidR="00217D38">
        <w:rPr>
          <w:rFonts w:ascii="Times New Roman" w:hAnsi="Times New Roman"/>
          <w:sz w:val="24"/>
          <w:szCs w:val="24"/>
        </w:rPr>
        <w:t>percent</w:t>
      </w:r>
      <w:r>
        <w:rPr>
          <w:rFonts w:ascii="Times New Roman" w:hAnsi="Times New Roman"/>
          <w:sz w:val="24"/>
          <w:szCs w:val="24"/>
        </w:rPr>
        <w:t xml:space="preserve">  in  2008  (ASTI/AWARD</w:t>
      </w:r>
      <w:r w:rsidR="00217D38">
        <w:rPr>
          <w:rFonts w:ascii="Times New Roman" w:hAnsi="Times New Roman"/>
          <w:sz w:val="24"/>
          <w:szCs w:val="24"/>
        </w:rPr>
        <w:t>,</w:t>
      </w:r>
      <w:r>
        <w:rPr>
          <w:rFonts w:ascii="Times New Roman" w:hAnsi="Times New Roman"/>
          <w:sz w:val="24"/>
          <w:szCs w:val="24"/>
        </w:rPr>
        <w:t xml:space="preserve"> 2008</w:t>
      </w:r>
      <w:r w:rsidRPr="0053263D">
        <w:rPr>
          <w:rFonts w:ascii="Times New Roman" w:hAnsi="Times New Roman"/>
          <w:sz w:val="24"/>
          <w:szCs w:val="24"/>
        </w:rPr>
        <w:t>).  This  increase  is  largely  due  to  an  increase  in  the  share  of  professional  women  employed  at  the  Kenyan  Agricultural  Research  Institute  (KARI)  during  the  eight</w:t>
      </w:r>
      <w:r w:rsidRPr="0053263D">
        <w:rPr>
          <w:sz w:val="24"/>
          <w:szCs w:val="24"/>
        </w:rPr>
        <w:t>‐</w:t>
      </w:r>
      <w:r w:rsidRPr="0053263D">
        <w:rPr>
          <w:rFonts w:ascii="Times New Roman" w:hAnsi="Times New Roman"/>
          <w:sz w:val="24"/>
          <w:szCs w:val="24"/>
        </w:rPr>
        <w:t>year  period.  In  contrast,  the  share  of  female  professional  staff  decr</w:t>
      </w:r>
      <w:r>
        <w:rPr>
          <w:rFonts w:ascii="Times New Roman" w:hAnsi="Times New Roman"/>
          <w:sz w:val="24"/>
          <w:szCs w:val="24"/>
        </w:rPr>
        <w:t>eased  from  33  to  25</w:t>
      </w:r>
      <w:r w:rsidR="00217D38">
        <w:rPr>
          <w:rFonts w:ascii="Times New Roman" w:hAnsi="Times New Roman"/>
          <w:sz w:val="24"/>
          <w:szCs w:val="24"/>
        </w:rPr>
        <w:t xml:space="preserve"> percent</w:t>
      </w:r>
      <w:r w:rsidRPr="0053263D">
        <w:rPr>
          <w:rFonts w:ascii="Times New Roman" w:hAnsi="Times New Roman"/>
          <w:sz w:val="24"/>
          <w:szCs w:val="24"/>
        </w:rPr>
        <w:t xml:space="preserve">  at  the  University  of  Nairobi’s  Faculty  of  Agriculture</w:t>
      </w:r>
      <w:r>
        <w:rPr>
          <w:rFonts w:ascii="Times New Roman" w:hAnsi="Times New Roman"/>
          <w:sz w:val="24"/>
          <w:szCs w:val="24"/>
        </w:rPr>
        <w:t>,</w:t>
      </w:r>
      <w:r w:rsidRPr="0053263D">
        <w:rPr>
          <w:rFonts w:ascii="Times New Roman" w:hAnsi="Times New Roman"/>
          <w:sz w:val="24"/>
          <w:szCs w:val="24"/>
        </w:rPr>
        <w:t xml:space="preserve">  and  remained  low  and  c</w:t>
      </w:r>
      <w:r>
        <w:rPr>
          <w:rFonts w:ascii="Times New Roman" w:hAnsi="Times New Roman"/>
          <w:sz w:val="24"/>
          <w:szCs w:val="24"/>
        </w:rPr>
        <w:t>onstant,  at  about  15</w:t>
      </w:r>
      <w:r w:rsidR="00217D38">
        <w:rPr>
          <w:rFonts w:ascii="Times New Roman" w:hAnsi="Times New Roman"/>
          <w:sz w:val="24"/>
          <w:szCs w:val="24"/>
        </w:rPr>
        <w:t xml:space="preserve"> percent</w:t>
      </w:r>
      <w:r w:rsidRPr="0053263D">
        <w:rPr>
          <w:rFonts w:ascii="Times New Roman" w:hAnsi="Times New Roman"/>
          <w:sz w:val="24"/>
          <w:szCs w:val="24"/>
        </w:rPr>
        <w:t>,  at  the  Faculty  of  Veterinary  Sciences</w:t>
      </w:r>
      <w:r>
        <w:rPr>
          <w:rFonts w:ascii="Times New Roman" w:hAnsi="Times New Roman"/>
          <w:sz w:val="24"/>
          <w:szCs w:val="24"/>
        </w:rPr>
        <w:t>(ASTI/AWARD</w:t>
      </w:r>
      <w:r w:rsidR="00217D38">
        <w:rPr>
          <w:rFonts w:ascii="Times New Roman" w:hAnsi="Times New Roman"/>
          <w:sz w:val="24"/>
          <w:szCs w:val="24"/>
        </w:rPr>
        <w:t>,</w:t>
      </w:r>
      <w:r>
        <w:rPr>
          <w:rFonts w:ascii="Times New Roman" w:hAnsi="Times New Roman"/>
          <w:sz w:val="24"/>
          <w:szCs w:val="24"/>
        </w:rPr>
        <w:t xml:space="preserve"> 2008).  </w:t>
      </w:r>
      <w:r w:rsidR="00217D38">
        <w:rPr>
          <w:rFonts w:ascii="Times New Roman" w:hAnsi="Times New Roman"/>
          <w:sz w:val="24"/>
          <w:szCs w:val="24"/>
        </w:rPr>
        <w:t>Furthermore, o</w:t>
      </w:r>
      <w:r w:rsidRPr="0053263D">
        <w:rPr>
          <w:rFonts w:ascii="Times New Roman" w:hAnsi="Times New Roman"/>
          <w:sz w:val="24"/>
          <w:szCs w:val="24"/>
        </w:rPr>
        <w:t>f  the  professional  staff  at  the  agricultural  research  and  higher  e</w:t>
      </w:r>
      <w:r>
        <w:rPr>
          <w:rFonts w:ascii="Times New Roman" w:hAnsi="Times New Roman"/>
          <w:sz w:val="24"/>
          <w:szCs w:val="24"/>
        </w:rPr>
        <w:t>ducation  agencies,  22</w:t>
      </w:r>
      <w:r w:rsidR="00217D38">
        <w:rPr>
          <w:rFonts w:ascii="Times New Roman" w:hAnsi="Times New Roman"/>
          <w:sz w:val="24"/>
          <w:szCs w:val="24"/>
        </w:rPr>
        <w:t xml:space="preserve"> percent</w:t>
      </w:r>
      <w:r w:rsidRPr="0053263D">
        <w:rPr>
          <w:rFonts w:ascii="Times New Roman" w:hAnsi="Times New Roman"/>
          <w:sz w:val="24"/>
          <w:szCs w:val="24"/>
        </w:rPr>
        <w:t xml:space="preserve">  of  those  </w:t>
      </w:r>
      <w:r>
        <w:rPr>
          <w:rFonts w:ascii="Times New Roman" w:hAnsi="Times New Roman"/>
          <w:sz w:val="24"/>
          <w:szCs w:val="24"/>
        </w:rPr>
        <w:t>with  Ph</w:t>
      </w:r>
      <w:r w:rsidR="00F63BC4">
        <w:rPr>
          <w:rFonts w:ascii="Times New Roman" w:hAnsi="Times New Roman"/>
          <w:sz w:val="24"/>
          <w:szCs w:val="24"/>
        </w:rPr>
        <w:t>.</w:t>
      </w:r>
      <w:r>
        <w:rPr>
          <w:rFonts w:ascii="Times New Roman" w:hAnsi="Times New Roman"/>
          <w:sz w:val="24"/>
          <w:szCs w:val="24"/>
        </w:rPr>
        <w:t>D</w:t>
      </w:r>
      <w:r w:rsidR="00F63BC4">
        <w:rPr>
          <w:rFonts w:ascii="Times New Roman" w:hAnsi="Times New Roman"/>
          <w:sz w:val="24"/>
          <w:szCs w:val="24"/>
        </w:rPr>
        <w:t>.</w:t>
      </w:r>
      <w:r>
        <w:rPr>
          <w:rFonts w:ascii="Times New Roman" w:hAnsi="Times New Roman"/>
          <w:sz w:val="24"/>
          <w:szCs w:val="24"/>
        </w:rPr>
        <w:t xml:space="preserve">  degrees,  28</w:t>
      </w:r>
      <w:r w:rsidR="00F63BC4">
        <w:rPr>
          <w:rFonts w:ascii="Times New Roman" w:hAnsi="Times New Roman"/>
          <w:sz w:val="24"/>
          <w:szCs w:val="24"/>
        </w:rPr>
        <w:t xml:space="preserve"> percent</w:t>
      </w:r>
      <w:r w:rsidRPr="0053263D">
        <w:rPr>
          <w:rFonts w:ascii="Times New Roman" w:hAnsi="Times New Roman"/>
          <w:sz w:val="24"/>
          <w:szCs w:val="24"/>
        </w:rPr>
        <w:t xml:space="preserve">  of  those  with </w:t>
      </w:r>
      <w:r>
        <w:rPr>
          <w:rFonts w:ascii="Times New Roman" w:hAnsi="Times New Roman"/>
          <w:sz w:val="24"/>
          <w:szCs w:val="24"/>
        </w:rPr>
        <w:t> M</w:t>
      </w:r>
      <w:r w:rsidR="00F63BC4">
        <w:rPr>
          <w:rFonts w:ascii="Times New Roman" w:hAnsi="Times New Roman"/>
          <w:sz w:val="24"/>
          <w:szCs w:val="24"/>
        </w:rPr>
        <w:t>.</w:t>
      </w:r>
      <w:r>
        <w:rPr>
          <w:rFonts w:ascii="Times New Roman" w:hAnsi="Times New Roman"/>
          <w:sz w:val="24"/>
          <w:szCs w:val="24"/>
        </w:rPr>
        <w:t>S  degrees,  and  38</w:t>
      </w:r>
      <w:r w:rsidR="00F63BC4">
        <w:rPr>
          <w:rFonts w:ascii="Times New Roman" w:hAnsi="Times New Roman"/>
          <w:sz w:val="24"/>
          <w:szCs w:val="24"/>
        </w:rPr>
        <w:t xml:space="preserve"> percent</w:t>
      </w:r>
      <w:r w:rsidRPr="0053263D">
        <w:rPr>
          <w:rFonts w:ascii="Times New Roman" w:hAnsi="Times New Roman"/>
          <w:sz w:val="24"/>
          <w:szCs w:val="24"/>
        </w:rPr>
        <w:t xml:space="preserve">  of  those  with  B</w:t>
      </w:r>
      <w:r w:rsidR="00F63BC4">
        <w:rPr>
          <w:rFonts w:ascii="Times New Roman" w:hAnsi="Times New Roman"/>
          <w:sz w:val="24"/>
          <w:szCs w:val="24"/>
        </w:rPr>
        <w:t>.</w:t>
      </w:r>
      <w:r w:rsidRPr="0053263D">
        <w:rPr>
          <w:rFonts w:ascii="Times New Roman" w:hAnsi="Times New Roman"/>
          <w:sz w:val="24"/>
          <w:szCs w:val="24"/>
        </w:rPr>
        <w:t>S  d</w:t>
      </w:r>
      <w:r>
        <w:rPr>
          <w:rFonts w:ascii="Times New Roman" w:hAnsi="Times New Roman"/>
          <w:sz w:val="24"/>
          <w:szCs w:val="24"/>
        </w:rPr>
        <w:t>egrees  were  female  (ASTI/AWARD 2008</w:t>
      </w:r>
      <w:r w:rsidRPr="0053263D">
        <w:rPr>
          <w:rFonts w:ascii="Times New Roman" w:hAnsi="Times New Roman"/>
          <w:sz w:val="24"/>
          <w:szCs w:val="24"/>
        </w:rPr>
        <w:t xml:space="preserve">). </w:t>
      </w:r>
    </w:p>
    <w:p w:rsidR="00F63BC4" w:rsidRDefault="00F63BC4" w:rsidP="00F67EDF">
      <w:pPr>
        <w:spacing w:line="360" w:lineRule="auto"/>
        <w:contextualSpacing/>
        <w:jc w:val="both"/>
        <w:rPr>
          <w:rFonts w:ascii="Times New Roman" w:hAnsi="Times New Roman"/>
          <w:sz w:val="24"/>
          <w:szCs w:val="24"/>
        </w:rPr>
      </w:pPr>
    </w:p>
    <w:p w:rsidR="00F67EDF" w:rsidRPr="00CA2E2D" w:rsidRDefault="00F405AD" w:rsidP="00F67EDF">
      <w:pPr>
        <w:spacing w:line="360" w:lineRule="auto"/>
        <w:contextualSpacing/>
        <w:jc w:val="both"/>
        <w:rPr>
          <w:rFonts w:ascii="Times New Roman" w:hAnsi="Times New Roman"/>
          <w:b/>
          <w:bCs/>
          <w:sz w:val="24"/>
          <w:szCs w:val="24"/>
        </w:rPr>
      </w:pPr>
      <w:r>
        <w:rPr>
          <w:rFonts w:ascii="Times New Roman" w:hAnsi="Times New Roman"/>
          <w:sz w:val="24"/>
          <w:szCs w:val="24"/>
        </w:rPr>
        <w:t xml:space="preserve">      </w:t>
      </w:r>
      <w:r w:rsidR="00F67EDF">
        <w:rPr>
          <w:rFonts w:ascii="Times New Roman" w:hAnsi="Times New Roman"/>
          <w:sz w:val="24"/>
          <w:szCs w:val="24"/>
        </w:rPr>
        <w:t xml:space="preserve">The data further reveal that in </w:t>
      </w:r>
      <w:r w:rsidR="00F67EDF" w:rsidRPr="0053263D">
        <w:rPr>
          <w:rFonts w:ascii="Times New Roman" w:hAnsi="Times New Roman"/>
          <w:sz w:val="24"/>
          <w:szCs w:val="24"/>
          <w:lang w:val="en-US"/>
        </w:rPr>
        <w:t xml:space="preserve">  2007,  female  students</w:t>
      </w:r>
      <w:r w:rsidR="00F67EDF">
        <w:rPr>
          <w:rFonts w:ascii="Times New Roman" w:hAnsi="Times New Roman"/>
          <w:sz w:val="24"/>
          <w:szCs w:val="24"/>
          <w:lang w:val="en-US"/>
        </w:rPr>
        <w:t xml:space="preserve">  accounted  for  about  32 </w:t>
      </w:r>
      <w:r w:rsidR="00F63BC4">
        <w:rPr>
          <w:rFonts w:ascii="Times New Roman" w:hAnsi="Times New Roman"/>
          <w:sz w:val="24"/>
          <w:szCs w:val="24"/>
          <w:lang w:val="en-US"/>
        </w:rPr>
        <w:t>percent</w:t>
      </w:r>
      <w:r w:rsidR="00F67EDF" w:rsidRPr="0053263D">
        <w:rPr>
          <w:rFonts w:ascii="Times New Roman" w:hAnsi="Times New Roman"/>
          <w:sz w:val="24"/>
          <w:szCs w:val="24"/>
          <w:lang w:val="en-US"/>
        </w:rPr>
        <w:t xml:space="preserve">  of  the  total  student  population  </w:t>
      </w:r>
      <w:r w:rsidR="00F63BC4">
        <w:rPr>
          <w:rFonts w:ascii="Times New Roman" w:hAnsi="Times New Roman"/>
          <w:sz w:val="24"/>
          <w:szCs w:val="24"/>
          <w:lang w:val="en-US"/>
        </w:rPr>
        <w:t>in</w:t>
      </w:r>
      <w:r w:rsidR="00F67EDF">
        <w:rPr>
          <w:rFonts w:ascii="Times New Roman" w:hAnsi="Times New Roman"/>
          <w:sz w:val="24"/>
          <w:szCs w:val="24"/>
          <w:lang w:val="en-US"/>
        </w:rPr>
        <w:t xml:space="preserve"> </w:t>
      </w:r>
      <w:r w:rsidR="00F63BC4">
        <w:rPr>
          <w:rFonts w:ascii="Times New Roman" w:hAnsi="Times New Roman"/>
          <w:sz w:val="24"/>
          <w:szCs w:val="24"/>
          <w:lang w:val="en-US"/>
        </w:rPr>
        <w:t>a</w:t>
      </w:r>
      <w:r w:rsidR="00F67EDF">
        <w:rPr>
          <w:rFonts w:ascii="Times New Roman" w:hAnsi="Times New Roman"/>
          <w:sz w:val="24"/>
          <w:szCs w:val="24"/>
          <w:lang w:val="en-US"/>
        </w:rPr>
        <w:t>griculture and veterinary sciences</w:t>
      </w:r>
      <w:r w:rsidR="00F63BC4">
        <w:rPr>
          <w:rFonts w:ascii="Times New Roman" w:hAnsi="Times New Roman"/>
          <w:sz w:val="24"/>
          <w:szCs w:val="24"/>
          <w:lang w:val="en-US"/>
        </w:rPr>
        <w:t xml:space="preserve"> at the U</w:t>
      </w:r>
      <w:r w:rsidR="00F67EDF">
        <w:rPr>
          <w:rFonts w:ascii="Times New Roman" w:hAnsi="Times New Roman"/>
          <w:sz w:val="24"/>
          <w:szCs w:val="24"/>
          <w:lang w:val="en-US"/>
        </w:rPr>
        <w:t>niversity of Nairobi and Jomo Kenyatta University of Agriculture and Technology(JKUAT), (ASTI/AWARD</w:t>
      </w:r>
      <w:r w:rsidR="00F63BC4">
        <w:rPr>
          <w:rFonts w:ascii="Times New Roman" w:hAnsi="Times New Roman"/>
          <w:sz w:val="24"/>
          <w:szCs w:val="24"/>
          <w:lang w:val="en-US"/>
        </w:rPr>
        <w:t>,</w:t>
      </w:r>
      <w:r w:rsidR="00F67EDF">
        <w:rPr>
          <w:rFonts w:ascii="Times New Roman" w:hAnsi="Times New Roman"/>
          <w:sz w:val="24"/>
          <w:szCs w:val="24"/>
          <w:lang w:val="en-US"/>
        </w:rPr>
        <w:t xml:space="preserve"> 2008).</w:t>
      </w:r>
      <w:r w:rsidR="00F67EDF" w:rsidRPr="0053263D">
        <w:rPr>
          <w:rFonts w:ascii="Times New Roman" w:hAnsi="Times New Roman"/>
          <w:sz w:val="24"/>
          <w:szCs w:val="24"/>
          <w:lang w:val="en-US"/>
        </w:rPr>
        <w:t xml:space="preserve">  Notably,  there  w</w:t>
      </w:r>
      <w:r w:rsidR="00F67EDF">
        <w:rPr>
          <w:rFonts w:ascii="Times New Roman" w:hAnsi="Times New Roman"/>
          <w:sz w:val="24"/>
          <w:szCs w:val="24"/>
          <w:lang w:val="en-US"/>
        </w:rPr>
        <w:t>as  a  relatively  higher  proportion</w:t>
      </w:r>
      <w:r w:rsidR="00F67EDF" w:rsidRPr="0053263D">
        <w:rPr>
          <w:rFonts w:ascii="Times New Roman" w:hAnsi="Times New Roman"/>
          <w:sz w:val="24"/>
          <w:szCs w:val="24"/>
          <w:lang w:val="en-US"/>
        </w:rPr>
        <w:t xml:space="preserve">  of  women  among  the  total  number  of  students  undertaking  Ph</w:t>
      </w:r>
      <w:r w:rsidR="00F63BC4">
        <w:rPr>
          <w:rFonts w:ascii="Times New Roman" w:hAnsi="Times New Roman"/>
          <w:sz w:val="24"/>
          <w:szCs w:val="24"/>
          <w:lang w:val="en-US"/>
        </w:rPr>
        <w:t>.</w:t>
      </w:r>
      <w:r w:rsidR="00F67EDF" w:rsidRPr="0053263D">
        <w:rPr>
          <w:rFonts w:ascii="Times New Roman" w:hAnsi="Times New Roman"/>
          <w:sz w:val="24"/>
          <w:szCs w:val="24"/>
          <w:lang w:val="en-US"/>
        </w:rPr>
        <w:t>D</w:t>
      </w:r>
      <w:r w:rsidR="00F63BC4">
        <w:rPr>
          <w:rFonts w:ascii="Times New Roman" w:hAnsi="Times New Roman"/>
          <w:sz w:val="24"/>
          <w:szCs w:val="24"/>
          <w:lang w:val="en-US"/>
        </w:rPr>
        <w:t>.</w:t>
      </w:r>
      <w:r w:rsidR="00F67EDF" w:rsidRPr="0053263D">
        <w:rPr>
          <w:rFonts w:ascii="Times New Roman" w:hAnsi="Times New Roman"/>
          <w:sz w:val="24"/>
          <w:szCs w:val="24"/>
          <w:lang w:val="en-US"/>
        </w:rPr>
        <w:t xml:space="preserve">  degrees,</w:t>
      </w:r>
      <w:r w:rsidR="00F67EDF">
        <w:rPr>
          <w:rFonts w:ascii="Times New Roman" w:hAnsi="Times New Roman"/>
          <w:sz w:val="24"/>
          <w:szCs w:val="24"/>
          <w:lang w:val="en-US"/>
        </w:rPr>
        <w:t xml:space="preserve">  but  a  relatively  low  proportion</w:t>
      </w:r>
      <w:r w:rsidR="00F67EDF" w:rsidRPr="0053263D">
        <w:rPr>
          <w:rFonts w:ascii="Times New Roman" w:hAnsi="Times New Roman"/>
          <w:sz w:val="24"/>
          <w:szCs w:val="24"/>
          <w:lang w:val="en-US"/>
        </w:rPr>
        <w:t xml:space="preserve">  of  female  students  actually  graduated.  In  total,  39  women  and  55  men  were  enrolled  in  P</w:t>
      </w:r>
      <w:r w:rsidR="00F67EDF">
        <w:rPr>
          <w:rFonts w:ascii="Times New Roman" w:hAnsi="Times New Roman"/>
          <w:sz w:val="24"/>
          <w:szCs w:val="24"/>
          <w:lang w:val="en-US"/>
        </w:rPr>
        <w:t>h</w:t>
      </w:r>
      <w:r w:rsidR="00F63BC4">
        <w:rPr>
          <w:rFonts w:ascii="Times New Roman" w:hAnsi="Times New Roman"/>
          <w:sz w:val="24"/>
          <w:szCs w:val="24"/>
          <w:lang w:val="en-US"/>
        </w:rPr>
        <w:t>.</w:t>
      </w:r>
      <w:r w:rsidR="00F67EDF">
        <w:rPr>
          <w:rFonts w:ascii="Times New Roman" w:hAnsi="Times New Roman"/>
          <w:sz w:val="24"/>
          <w:szCs w:val="24"/>
          <w:lang w:val="en-US"/>
        </w:rPr>
        <w:t>D</w:t>
      </w:r>
      <w:r w:rsidR="00F63BC4">
        <w:rPr>
          <w:rFonts w:ascii="Times New Roman" w:hAnsi="Times New Roman"/>
          <w:sz w:val="24"/>
          <w:szCs w:val="24"/>
          <w:lang w:val="en-US"/>
        </w:rPr>
        <w:t>.</w:t>
      </w:r>
      <w:r w:rsidR="00F67EDF">
        <w:rPr>
          <w:rFonts w:ascii="Times New Roman" w:hAnsi="Times New Roman"/>
          <w:sz w:val="24"/>
          <w:szCs w:val="24"/>
          <w:lang w:val="en-US"/>
        </w:rPr>
        <w:t> degree  training  in  2007</w:t>
      </w:r>
      <w:r w:rsidR="00F63BC4">
        <w:rPr>
          <w:rFonts w:ascii="Times New Roman" w:hAnsi="Times New Roman"/>
          <w:sz w:val="24"/>
          <w:szCs w:val="24"/>
          <w:lang w:val="en-US"/>
        </w:rPr>
        <w:t>,</w:t>
      </w:r>
      <w:r w:rsidR="00F67EDF">
        <w:rPr>
          <w:rFonts w:ascii="Times New Roman" w:hAnsi="Times New Roman"/>
          <w:sz w:val="24"/>
          <w:szCs w:val="24"/>
          <w:lang w:val="en-US"/>
        </w:rPr>
        <w:t xml:space="preserve"> while two  female   and  15  male students</w:t>
      </w:r>
      <w:r w:rsidR="00F67EDF" w:rsidRPr="0053263D">
        <w:rPr>
          <w:rFonts w:ascii="Times New Roman" w:hAnsi="Times New Roman"/>
          <w:sz w:val="24"/>
          <w:szCs w:val="24"/>
          <w:lang w:val="en-US"/>
        </w:rPr>
        <w:t xml:space="preserve">  graduated  that  year</w:t>
      </w:r>
      <w:r w:rsidR="00F63BC4">
        <w:rPr>
          <w:rFonts w:ascii="Times New Roman" w:hAnsi="Times New Roman"/>
          <w:sz w:val="24"/>
          <w:szCs w:val="24"/>
          <w:lang w:val="en-US"/>
        </w:rPr>
        <w:t xml:space="preserve"> </w:t>
      </w:r>
      <w:r w:rsidR="00F67EDF">
        <w:rPr>
          <w:rFonts w:ascii="Times New Roman" w:hAnsi="Times New Roman"/>
          <w:sz w:val="24"/>
          <w:szCs w:val="24"/>
          <w:lang w:val="en-US"/>
        </w:rPr>
        <w:t>(</w:t>
      </w:r>
      <w:r w:rsidR="00F67EDF" w:rsidRPr="0053263D">
        <w:rPr>
          <w:rFonts w:ascii="Times New Roman" w:hAnsi="Times New Roman"/>
          <w:sz w:val="24"/>
          <w:szCs w:val="24"/>
          <w:lang w:val="en-US"/>
        </w:rPr>
        <w:t> </w:t>
      </w:r>
      <w:r w:rsidR="00F67EDF">
        <w:rPr>
          <w:rFonts w:ascii="Times New Roman" w:hAnsi="Times New Roman"/>
          <w:sz w:val="24"/>
          <w:szCs w:val="24"/>
          <w:lang w:val="en-US"/>
        </w:rPr>
        <w:t>ASTI/AWARD</w:t>
      </w:r>
      <w:r w:rsidR="00F63BC4">
        <w:rPr>
          <w:rFonts w:ascii="Times New Roman" w:hAnsi="Times New Roman"/>
          <w:sz w:val="24"/>
          <w:szCs w:val="24"/>
          <w:lang w:val="en-US"/>
        </w:rPr>
        <w:t>,</w:t>
      </w:r>
      <w:r w:rsidR="00F67EDF">
        <w:rPr>
          <w:rFonts w:ascii="Times New Roman" w:hAnsi="Times New Roman"/>
          <w:sz w:val="24"/>
          <w:szCs w:val="24"/>
          <w:lang w:val="en-US"/>
        </w:rPr>
        <w:t xml:space="preserve"> 2008). This data shows three trends related to female students participatin</w:t>
      </w:r>
      <w:r w:rsidR="00F63BC4">
        <w:rPr>
          <w:rFonts w:ascii="Times New Roman" w:hAnsi="Times New Roman"/>
          <w:sz w:val="24"/>
          <w:szCs w:val="24"/>
          <w:lang w:val="en-US"/>
        </w:rPr>
        <w:t xml:space="preserve">g in </w:t>
      </w:r>
      <w:r w:rsidR="00F67EDF">
        <w:rPr>
          <w:rFonts w:ascii="Times New Roman" w:hAnsi="Times New Roman"/>
          <w:sz w:val="24"/>
          <w:szCs w:val="24"/>
          <w:lang w:val="en-US"/>
        </w:rPr>
        <w:t xml:space="preserve"> and completin</w:t>
      </w:r>
      <w:r w:rsidR="00F63BC4">
        <w:rPr>
          <w:rFonts w:ascii="Times New Roman" w:hAnsi="Times New Roman"/>
          <w:sz w:val="24"/>
          <w:szCs w:val="24"/>
          <w:lang w:val="en-US"/>
        </w:rPr>
        <w:t>g</w:t>
      </w:r>
      <w:r w:rsidR="00F67EDF">
        <w:rPr>
          <w:rFonts w:ascii="Times New Roman" w:hAnsi="Times New Roman"/>
          <w:sz w:val="24"/>
          <w:szCs w:val="24"/>
          <w:lang w:val="en-US"/>
        </w:rPr>
        <w:t xml:space="preserve"> </w:t>
      </w:r>
      <w:r w:rsidR="00F63BC4">
        <w:rPr>
          <w:rFonts w:ascii="Times New Roman" w:hAnsi="Times New Roman"/>
          <w:sz w:val="24"/>
          <w:szCs w:val="24"/>
          <w:lang w:val="en-US"/>
        </w:rPr>
        <w:t>s</w:t>
      </w:r>
      <w:r w:rsidR="00F67EDF">
        <w:rPr>
          <w:rFonts w:ascii="Times New Roman" w:hAnsi="Times New Roman"/>
          <w:sz w:val="24"/>
          <w:szCs w:val="24"/>
          <w:lang w:val="en-US"/>
        </w:rPr>
        <w:t xml:space="preserve">cience and </w:t>
      </w:r>
      <w:r w:rsidR="00F63BC4">
        <w:rPr>
          <w:rFonts w:ascii="Times New Roman" w:hAnsi="Times New Roman"/>
          <w:sz w:val="24"/>
          <w:szCs w:val="24"/>
          <w:lang w:val="en-US"/>
        </w:rPr>
        <w:t>t</w:t>
      </w:r>
      <w:r w:rsidR="00F67EDF">
        <w:rPr>
          <w:rFonts w:ascii="Times New Roman" w:hAnsi="Times New Roman"/>
          <w:sz w:val="24"/>
          <w:szCs w:val="24"/>
          <w:lang w:val="en-US"/>
        </w:rPr>
        <w:t>echnology courses. First</w:t>
      </w:r>
      <w:r w:rsidR="00F63BC4">
        <w:rPr>
          <w:rFonts w:ascii="Times New Roman" w:hAnsi="Times New Roman"/>
          <w:sz w:val="24"/>
          <w:szCs w:val="24"/>
          <w:lang w:val="en-US"/>
        </w:rPr>
        <w:t>,</w:t>
      </w:r>
      <w:r w:rsidR="00F67EDF">
        <w:rPr>
          <w:rFonts w:ascii="Times New Roman" w:hAnsi="Times New Roman"/>
          <w:sz w:val="24"/>
          <w:szCs w:val="24"/>
          <w:lang w:val="en-US"/>
        </w:rPr>
        <w:t xml:space="preserve"> the number of female students decreases as they proceed into higher academic levels. Second</w:t>
      </w:r>
      <w:r w:rsidR="00F63BC4">
        <w:rPr>
          <w:rFonts w:ascii="Times New Roman" w:hAnsi="Times New Roman"/>
          <w:sz w:val="24"/>
          <w:szCs w:val="24"/>
          <w:lang w:val="en-US"/>
        </w:rPr>
        <w:t>,</w:t>
      </w:r>
      <w:r w:rsidR="00F67EDF">
        <w:rPr>
          <w:rFonts w:ascii="Times New Roman" w:hAnsi="Times New Roman"/>
          <w:sz w:val="24"/>
          <w:szCs w:val="24"/>
          <w:lang w:val="en-US"/>
        </w:rPr>
        <w:t xml:space="preserve"> completion and transition rates for female students </w:t>
      </w:r>
      <w:r w:rsidR="00F63BC4">
        <w:rPr>
          <w:rFonts w:ascii="Times New Roman" w:hAnsi="Times New Roman"/>
          <w:sz w:val="24"/>
          <w:szCs w:val="24"/>
          <w:lang w:val="en-US"/>
        </w:rPr>
        <w:t xml:space="preserve">are lower </w:t>
      </w:r>
      <w:r w:rsidR="00F67EDF">
        <w:rPr>
          <w:rFonts w:ascii="Times New Roman" w:hAnsi="Times New Roman"/>
          <w:sz w:val="24"/>
          <w:szCs w:val="24"/>
          <w:lang w:val="en-US"/>
        </w:rPr>
        <w:t xml:space="preserve">compared to male students. Third, female students take longer to complete their graduate programs compared to male students. More importantly, there is no indication that female students perform differently compared to males. This is perhaps a strong reason to </w:t>
      </w:r>
      <w:r w:rsidR="00F67EDF">
        <w:rPr>
          <w:rFonts w:ascii="Times New Roman" w:hAnsi="Times New Roman"/>
          <w:sz w:val="24"/>
          <w:szCs w:val="24"/>
          <w:lang w:val="en-US"/>
        </w:rPr>
        <w:lastRenderedPageBreak/>
        <w:t>advocate for institutional interventions to enable female students complete their programs within time.</w:t>
      </w:r>
    </w:p>
    <w:p w:rsidR="00F67EDF" w:rsidRDefault="00F67EDF" w:rsidP="00F67EDF">
      <w:pPr>
        <w:spacing w:line="240" w:lineRule="auto"/>
        <w:contextualSpacing/>
        <w:rPr>
          <w:rFonts w:ascii="Times New Roman" w:hAnsi="Times New Roman"/>
          <w:b/>
          <w:bCs/>
          <w:sz w:val="24"/>
          <w:szCs w:val="24"/>
        </w:rPr>
      </w:pPr>
    </w:p>
    <w:p w:rsidR="00F67EDF" w:rsidRPr="00781340" w:rsidRDefault="00F405AD" w:rsidP="00F67EDF">
      <w:pPr>
        <w:spacing w:line="360" w:lineRule="auto"/>
        <w:contextualSpacing/>
        <w:jc w:val="both"/>
        <w:rPr>
          <w:rFonts w:ascii="Times New Roman" w:hAnsi="Times New Roman"/>
          <w:b/>
          <w:bCs/>
          <w:sz w:val="24"/>
          <w:szCs w:val="24"/>
        </w:rPr>
      </w:pPr>
      <w:r>
        <w:rPr>
          <w:rFonts w:ascii="Times New Roman" w:hAnsi="Times New Roman"/>
          <w:sz w:val="24"/>
          <w:szCs w:val="24"/>
        </w:rPr>
        <w:t xml:space="preserve">      </w:t>
      </w:r>
      <w:r w:rsidR="00F67EDF">
        <w:rPr>
          <w:rFonts w:ascii="Times New Roman" w:hAnsi="Times New Roman"/>
          <w:sz w:val="24"/>
          <w:szCs w:val="24"/>
        </w:rPr>
        <w:t>In a study examining democratic access to higher education in Ghana and Tanzania, Morley, Leach and Rosemary Lugg (2008, contend that policy interventions aimed at widening access to higher education should show that</w:t>
      </w:r>
      <w:r w:rsidR="00F67EDF" w:rsidRPr="00781340">
        <w:rPr>
          <w:rFonts w:ascii="Times New Roman" w:hAnsi="Times New Roman"/>
          <w:sz w:val="24"/>
          <w:szCs w:val="24"/>
        </w:rPr>
        <w:t xml:space="preserve"> increased participation rates in public and private higher </w:t>
      </w:r>
      <w:r w:rsidR="00F67EDF">
        <w:rPr>
          <w:rFonts w:ascii="Times New Roman" w:hAnsi="Times New Roman"/>
          <w:sz w:val="24"/>
          <w:szCs w:val="24"/>
        </w:rPr>
        <w:t xml:space="preserve">education </w:t>
      </w:r>
      <w:r w:rsidR="00F67EDF" w:rsidRPr="00781340">
        <w:rPr>
          <w:rFonts w:ascii="Times New Roman" w:hAnsi="Times New Roman"/>
          <w:sz w:val="24"/>
          <w:szCs w:val="24"/>
        </w:rPr>
        <w:t>reflect</w:t>
      </w:r>
      <w:r w:rsidR="00F67EDF">
        <w:rPr>
          <w:rFonts w:ascii="Times New Roman" w:hAnsi="Times New Roman"/>
          <w:sz w:val="24"/>
          <w:szCs w:val="24"/>
        </w:rPr>
        <w:t xml:space="preserve"> greater social inclusion. They argue that s</w:t>
      </w:r>
      <w:r w:rsidR="00F67EDF" w:rsidRPr="00781340">
        <w:rPr>
          <w:rFonts w:ascii="Times New Roman" w:hAnsi="Times New Roman"/>
          <w:sz w:val="24"/>
          <w:szCs w:val="24"/>
        </w:rPr>
        <w:t>tudents in higher education in Sub-Saha</w:t>
      </w:r>
      <w:r w:rsidR="00F67EDF">
        <w:rPr>
          <w:rFonts w:ascii="Times New Roman" w:hAnsi="Times New Roman"/>
          <w:sz w:val="24"/>
          <w:szCs w:val="24"/>
        </w:rPr>
        <w:t>ran Africa are predominantly male, with female</w:t>
      </w:r>
      <w:r w:rsidR="00F67EDF" w:rsidRPr="00781340">
        <w:rPr>
          <w:rFonts w:ascii="Times New Roman" w:hAnsi="Times New Roman"/>
          <w:sz w:val="24"/>
          <w:szCs w:val="24"/>
        </w:rPr>
        <w:t xml:space="preserve"> students represented in much smaller numbers and concentrated in low status non-science subjects. Both female and male students are also largely from socio-economically advantaged backgrounds and from elite secondary schools. Students' retention, performance and completion rates reflect this unequal access, </w:t>
      </w:r>
      <w:r w:rsidR="00D416CF">
        <w:rPr>
          <w:rFonts w:ascii="Times New Roman" w:hAnsi="Times New Roman"/>
          <w:sz w:val="24"/>
          <w:szCs w:val="24"/>
        </w:rPr>
        <w:t xml:space="preserve">which relates </w:t>
      </w:r>
      <w:r w:rsidR="00F67EDF" w:rsidRPr="00781340">
        <w:rPr>
          <w:rFonts w:ascii="Times New Roman" w:hAnsi="Times New Roman"/>
          <w:sz w:val="24"/>
          <w:szCs w:val="24"/>
        </w:rPr>
        <w:t xml:space="preserve"> directly </w:t>
      </w:r>
      <w:r w:rsidR="00D416CF">
        <w:rPr>
          <w:rFonts w:ascii="Times New Roman" w:hAnsi="Times New Roman"/>
          <w:sz w:val="24"/>
          <w:szCs w:val="24"/>
        </w:rPr>
        <w:t>t</w:t>
      </w:r>
      <w:r w:rsidR="00F67EDF" w:rsidRPr="00781340">
        <w:rPr>
          <w:rFonts w:ascii="Times New Roman" w:hAnsi="Times New Roman"/>
          <w:sz w:val="24"/>
          <w:szCs w:val="24"/>
        </w:rPr>
        <w:t>o access to social and economic positions of influence in society.</w:t>
      </w:r>
      <w:r w:rsidR="00F67EDF">
        <w:rPr>
          <w:rFonts w:ascii="Times New Roman" w:hAnsi="Times New Roman"/>
          <w:sz w:val="24"/>
          <w:szCs w:val="24"/>
        </w:rPr>
        <w:t xml:space="preserve"> In the case of female students, considering all these factors is important when designing alternative affirmative policies for widening access.</w:t>
      </w:r>
    </w:p>
    <w:p w:rsidR="00F67EDF" w:rsidRDefault="00F67EDF" w:rsidP="00F67EDF">
      <w:pPr>
        <w:spacing w:line="360" w:lineRule="auto"/>
        <w:contextualSpacing/>
        <w:jc w:val="both"/>
        <w:rPr>
          <w:rFonts w:ascii="Times New Roman" w:hAnsi="Times New Roman"/>
          <w:b/>
          <w:bCs/>
          <w:sz w:val="24"/>
          <w:szCs w:val="24"/>
        </w:rPr>
      </w:pPr>
    </w:p>
    <w:p w:rsidR="00F67EDF" w:rsidRDefault="00F67EDF" w:rsidP="00F67EDF">
      <w:pPr>
        <w:spacing w:line="360" w:lineRule="auto"/>
        <w:contextualSpacing/>
        <w:jc w:val="both"/>
        <w:rPr>
          <w:rFonts w:ascii="Times New Roman" w:hAnsi="Times New Roman"/>
          <w:sz w:val="24"/>
          <w:szCs w:val="24"/>
        </w:rPr>
      </w:pPr>
      <w:r w:rsidRPr="00282A58">
        <w:rPr>
          <w:rFonts w:ascii="Times New Roman" w:hAnsi="Times New Roman"/>
          <w:b/>
          <w:bCs/>
          <w:sz w:val="24"/>
          <w:szCs w:val="24"/>
        </w:rPr>
        <w:t>I</w:t>
      </w:r>
      <w:r w:rsidRPr="0028075A">
        <w:rPr>
          <w:rFonts w:ascii="Times New Roman" w:hAnsi="Times New Roman"/>
          <w:b/>
          <w:bCs/>
          <w:sz w:val="24"/>
          <w:szCs w:val="24"/>
        </w:rPr>
        <w:t>nterventions to Address and Enhance Female Access and Participation</w:t>
      </w:r>
      <w:r w:rsidRPr="00CA2E2D">
        <w:rPr>
          <w:rFonts w:ascii="Times New Roman" w:hAnsi="Times New Roman"/>
          <w:sz w:val="24"/>
          <w:szCs w:val="24"/>
        </w:rPr>
        <w:t xml:space="preserve"> </w:t>
      </w:r>
    </w:p>
    <w:p w:rsidR="00F67EDF" w:rsidRDefault="00F67EDF" w:rsidP="00F67EDF">
      <w:pPr>
        <w:spacing w:line="360" w:lineRule="auto"/>
        <w:contextualSpacing/>
        <w:jc w:val="both"/>
        <w:rPr>
          <w:rFonts w:ascii="Times New Roman" w:hAnsi="Times New Roman"/>
          <w:bCs/>
          <w:sz w:val="24"/>
          <w:szCs w:val="24"/>
        </w:rPr>
      </w:pPr>
      <w:r>
        <w:rPr>
          <w:rFonts w:ascii="Times New Roman" w:hAnsi="Times New Roman"/>
          <w:bCs/>
          <w:sz w:val="24"/>
          <w:szCs w:val="24"/>
        </w:rPr>
        <w:t>Students who qualify can access higher education opportunities in Kenya through two avenues. The first is through regular admissions where students qualify for government loans, scholarships and bursaries. The majority of students who qualify through this mode however are those from high cost public schools and private academies</w:t>
      </w:r>
      <w:r w:rsidR="00D416CF">
        <w:rPr>
          <w:rFonts w:ascii="Times New Roman" w:hAnsi="Times New Roman"/>
          <w:bCs/>
          <w:sz w:val="24"/>
          <w:szCs w:val="24"/>
        </w:rPr>
        <w:t xml:space="preserve">, which </w:t>
      </w:r>
      <w:r>
        <w:rPr>
          <w:rFonts w:ascii="Times New Roman" w:hAnsi="Times New Roman"/>
          <w:bCs/>
          <w:sz w:val="24"/>
          <w:szCs w:val="24"/>
        </w:rPr>
        <w:t>indicat</w:t>
      </w:r>
      <w:r w:rsidR="00D416CF">
        <w:rPr>
          <w:rFonts w:ascii="Times New Roman" w:hAnsi="Times New Roman"/>
          <w:bCs/>
          <w:sz w:val="24"/>
          <w:szCs w:val="24"/>
        </w:rPr>
        <w:t>es</w:t>
      </w:r>
      <w:r>
        <w:rPr>
          <w:rFonts w:ascii="Times New Roman" w:hAnsi="Times New Roman"/>
          <w:bCs/>
          <w:sz w:val="24"/>
          <w:szCs w:val="24"/>
        </w:rPr>
        <w:t xml:space="preserve"> that regular admissions are skewed towards students from higher socio-economic income groups. The second avenue is through private sponsorship. These students pay tuition fees and associated higher education costs at market rates as a requirement for admission. The implication here is that both access avenues work to the advantage of students from high socio-economic income groups. If gender and socio-economic </w:t>
      </w:r>
      <w:r w:rsidR="00D416CF">
        <w:rPr>
          <w:rFonts w:ascii="Times New Roman" w:hAnsi="Times New Roman"/>
          <w:bCs/>
          <w:sz w:val="24"/>
          <w:szCs w:val="24"/>
        </w:rPr>
        <w:t xml:space="preserve">factors </w:t>
      </w:r>
      <w:r>
        <w:rPr>
          <w:rFonts w:ascii="Times New Roman" w:hAnsi="Times New Roman"/>
          <w:bCs/>
          <w:sz w:val="24"/>
          <w:szCs w:val="24"/>
        </w:rPr>
        <w:t xml:space="preserve">are correlated with these trends, then gender bias in favour of male students is evident.   </w:t>
      </w:r>
    </w:p>
    <w:p w:rsidR="00F67EDF" w:rsidRDefault="00F67EDF" w:rsidP="00F67EDF">
      <w:pPr>
        <w:spacing w:line="360" w:lineRule="auto"/>
        <w:contextualSpacing/>
        <w:jc w:val="both"/>
        <w:rPr>
          <w:rFonts w:ascii="Times New Roman" w:hAnsi="Times New Roman"/>
          <w:bCs/>
          <w:sz w:val="24"/>
          <w:szCs w:val="24"/>
        </w:rPr>
      </w:pPr>
    </w:p>
    <w:p w:rsidR="00905BCB" w:rsidRDefault="00F405AD" w:rsidP="00F67EDF">
      <w:pPr>
        <w:spacing w:line="360" w:lineRule="auto"/>
        <w:contextualSpacing/>
        <w:jc w:val="both"/>
        <w:rPr>
          <w:rFonts w:ascii="Times New Roman" w:hAnsi="Times New Roman"/>
          <w:bCs/>
          <w:sz w:val="24"/>
          <w:szCs w:val="24"/>
        </w:rPr>
      </w:pPr>
      <w:r>
        <w:rPr>
          <w:rFonts w:ascii="Times New Roman" w:hAnsi="Times New Roman"/>
          <w:bCs/>
          <w:sz w:val="24"/>
          <w:szCs w:val="24"/>
        </w:rPr>
        <w:t xml:space="preserve">      </w:t>
      </w:r>
      <w:r w:rsidR="00F67EDF" w:rsidRPr="00763A5F">
        <w:rPr>
          <w:rFonts w:ascii="Times New Roman" w:hAnsi="Times New Roman"/>
          <w:bCs/>
          <w:sz w:val="24"/>
          <w:szCs w:val="24"/>
        </w:rPr>
        <w:t xml:space="preserve">Affirmative action has been the </w:t>
      </w:r>
      <w:r w:rsidR="00D416CF">
        <w:rPr>
          <w:rFonts w:ascii="Times New Roman" w:hAnsi="Times New Roman"/>
          <w:bCs/>
          <w:sz w:val="24"/>
          <w:szCs w:val="24"/>
        </w:rPr>
        <w:t xml:space="preserve">policy </w:t>
      </w:r>
      <w:r w:rsidR="00F67EDF" w:rsidRPr="00763A5F">
        <w:rPr>
          <w:rFonts w:ascii="Times New Roman" w:hAnsi="Times New Roman"/>
          <w:bCs/>
          <w:sz w:val="24"/>
          <w:szCs w:val="24"/>
        </w:rPr>
        <w:t>most to increase female access to higher education in Kenya. This is also true of most countries in Sub-Saharan Africa.</w:t>
      </w:r>
      <w:r w:rsidR="00F67EDF">
        <w:rPr>
          <w:rFonts w:ascii="Times New Roman" w:hAnsi="Times New Roman"/>
          <w:bCs/>
          <w:sz w:val="24"/>
          <w:szCs w:val="24"/>
        </w:rPr>
        <w:t xml:space="preserve"> However as evidence from Kenya shows, affirmative action has certain limitations. Affirmative action policy benefits </w:t>
      </w:r>
      <w:r w:rsidR="00F67EDF">
        <w:rPr>
          <w:rFonts w:ascii="Times New Roman" w:hAnsi="Times New Roman"/>
          <w:bCs/>
          <w:sz w:val="24"/>
          <w:szCs w:val="24"/>
        </w:rPr>
        <w:lastRenderedPageBreak/>
        <w:t xml:space="preserve">qualified female students who cannot get admission to the institutions due to competitive access requirements. While this slightly increases female enrolments in the institutions, it does not ensure their entry into professional science and math based courses. The policy </w:t>
      </w:r>
      <w:r w:rsidR="00D416CF">
        <w:rPr>
          <w:rFonts w:ascii="Times New Roman" w:hAnsi="Times New Roman"/>
          <w:bCs/>
          <w:sz w:val="24"/>
          <w:szCs w:val="24"/>
        </w:rPr>
        <w:t xml:space="preserve">also </w:t>
      </w:r>
      <w:r w:rsidR="00F67EDF">
        <w:rPr>
          <w:rFonts w:ascii="Times New Roman" w:hAnsi="Times New Roman"/>
          <w:bCs/>
          <w:sz w:val="24"/>
          <w:szCs w:val="24"/>
        </w:rPr>
        <w:t>does not require higher education institutions to initiate linkages with secondary schools in order to address the low transition rates of female students from secondary schools to higher education institutions. Developing such links will be critical to address the low transition rates and enrolment of female students in science and maths</w:t>
      </w:r>
      <w:r w:rsidR="00D416CF">
        <w:rPr>
          <w:rFonts w:ascii="Times New Roman" w:hAnsi="Times New Roman"/>
          <w:bCs/>
          <w:sz w:val="24"/>
          <w:szCs w:val="24"/>
        </w:rPr>
        <w:t>-</w:t>
      </w:r>
      <w:r w:rsidR="00F67EDF">
        <w:rPr>
          <w:rFonts w:ascii="Times New Roman" w:hAnsi="Times New Roman"/>
          <w:bCs/>
          <w:sz w:val="24"/>
          <w:szCs w:val="24"/>
        </w:rPr>
        <w:t xml:space="preserve">related courses. As UNESCO (2009) documents, much of the gender, disparities evident in higher education in Africa stem from access and participation dynamics in primary and secondary schools. Affirmative policy again needs to go beyond just increasing the number of female students to understanding other socio-economic factors that limit female student participation in higher education. Only then can the institutions develop equity-based affirmative interventions for female students. </w:t>
      </w:r>
    </w:p>
    <w:p w:rsidR="00905BCB" w:rsidRDefault="00905BCB" w:rsidP="00F67EDF">
      <w:pPr>
        <w:spacing w:line="360" w:lineRule="auto"/>
        <w:contextualSpacing/>
        <w:jc w:val="both"/>
        <w:rPr>
          <w:rFonts w:ascii="Times New Roman" w:hAnsi="Times New Roman"/>
          <w:bCs/>
          <w:sz w:val="24"/>
          <w:szCs w:val="24"/>
        </w:rPr>
      </w:pPr>
    </w:p>
    <w:p w:rsidR="00F67EDF" w:rsidRPr="00655CA7" w:rsidRDefault="00F405AD" w:rsidP="00F67EDF">
      <w:pPr>
        <w:spacing w:line="360" w:lineRule="auto"/>
        <w:contextualSpacing/>
        <w:jc w:val="both"/>
        <w:rPr>
          <w:rFonts w:ascii="Times New Roman" w:hAnsi="Times New Roman"/>
          <w:bCs/>
          <w:sz w:val="24"/>
          <w:szCs w:val="24"/>
        </w:rPr>
      </w:pPr>
      <w:r>
        <w:rPr>
          <w:rFonts w:ascii="Times New Roman" w:hAnsi="Times New Roman"/>
          <w:bCs/>
          <w:sz w:val="24"/>
          <w:szCs w:val="24"/>
        </w:rPr>
        <w:t xml:space="preserve">      </w:t>
      </w:r>
      <w:r w:rsidR="00F67EDF">
        <w:rPr>
          <w:rFonts w:ascii="Times New Roman" w:hAnsi="Times New Roman"/>
          <w:bCs/>
          <w:sz w:val="24"/>
          <w:szCs w:val="24"/>
        </w:rPr>
        <w:t>The current affirmative policy not only disregards the socio-economic status of students but also does not have mechanisms of getting students into professional programmes. As studies have shown, various factors, besides gender determine access to higher education in most African countries. These other factors are</w:t>
      </w:r>
      <w:r w:rsidR="00F67EDF" w:rsidRPr="00655CA7">
        <w:rPr>
          <w:rFonts w:ascii="Times New Roman" w:hAnsi="Times New Roman"/>
          <w:sz w:val="24"/>
          <w:szCs w:val="24"/>
        </w:rPr>
        <w:t xml:space="preserve"> place of residence, level of education, family inc</w:t>
      </w:r>
      <w:r w:rsidR="00F67EDF">
        <w:rPr>
          <w:rFonts w:ascii="Times New Roman" w:hAnsi="Times New Roman"/>
          <w:sz w:val="24"/>
          <w:szCs w:val="24"/>
        </w:rPr>
        <w:t xml:space="preserve">ome and ethnicity or religion. </w:t>
      </w:r>
      <w:r w:rsidR="00F67EDF" w:rsidRPr="00655CA7">
        <w:rPr>
          <w:rFonts w:ascii="Times New Roman" w:hAnsi="Times New Roman"/>
          <w:sz w:val="24"/>
          <w:szCs w:val="24"/>
        </w:rPr>
        <w:t xml:space="preserve"> Both female and male students are also largely from socio-economically advantaged backgrounds and from elite secondary schools. Student retention, performance a</w:t>
      </w:r>
      <w:r w:rsidR="00F67EDF">
        <w:rPr>
          <w:rFonts w:ascii="Times New Roman" w:hAnsi="Times New Roman"/>
          <w:sz w:val="24"/>
          <w:szCs w:val="24"/>
        </w:rPr>
        <w:t>nd completion rates reflect</w:t>
      </w:r>
      <w:r w:rsidR="00F67EDF" w:rsidRPr="00655CA7">
        <w:rPr>
          <w:rFonts w:ascii="Times New Roman" w:hAnsi="Times New Roman"/>
          <w:sz w:val="24"/>
          <w:szCs w:val="24"/>
        </w:rPr>
        <w:t xml:space="preserve"> unequal acces</w:t>
      </w:r>
      <w:r w:rsidR="00F67EDF">
        <w:rPr>
          <w:rFonts w:ascii="Times New Roman" w:hAnsi="Times New Roman"/>
          <w:sz w:val="24"/>
          <w:szCs w:val="24"/>
        </w:rPr>
        <w:t>s (Morley, et al 2008). Holistic affirmative programmes should therefore address all these bases of gender inequities in higher education.</w:t>
      </w:r>
    </w:p>
    <w:p w:rsidR="00F67EDF" w:rsidRDefault="00F67EDF" w:rsidP="00F67EDF">
      <w:pPr>
        <w:spacing w:line="360" w:lineRule="auto"/>
        <w:contextualSpacing/>
        <w:jc w:val="both"/>
        <w:rPr>
          <w:rFonts w:ascii="Times New Roman" w:hAnsi="Times New Roman"/>
          <w:bCs/>
          <w:sz w:val="24"/>
          <w:szCs w:val="24"/>
        </w:rPr>
      </w:pPr>
    </w:p>
    <w:p w:rsidR="00F67EDF" w:rsidRPr="0025225A" w:rsidRDefault="00F405AD" w:rsidP="00F67EDF">
      <w:pPr>
        <w:spacing w:line="360" w:lineRule="auto"/>
        <w:contextualSpacing/>
        <w:jc w:val="both"/>
        <w:rPr>
          <w:rFonts w:ascii="Times New Roman" w:hAnsi="Times New Roman"/>
          <w:sz w:val="24"/>
          <w:szCs w:val="24"/>
        </w:rPr>
      </w:pPr>
      <w:r>
        <w:rPr>
          <w:rFonts w:ascii="Times New Roman" w:hAnsi="Times New Roman"/>
          <w:bCs/>
          <w:sz w:val="24"/>
          <w:szCs w:val="24"/>
        </w:rPr>
        <w:t xml:space="preserve">      </w:t>
      </w:r>
      <w:r w:rsidR="00F67EDF">
        <w:rPr>
          <w:rFonts w:ascii="Times New Roman" w:hAnsi="Times New Roman"/>
          <w:bCs/>
          <w:sz w:val="24"/>
          <w:szCs w:val="24"/>
        </w:rPr>
        <w:t xml:space="preserve">It is evident from table </w:t>
      </w:r>
      <w:r w:rsidR="000E0CF3">
        <w:rPr>
          <w:rFonts w:ascii="Times New Roman" w:hAnsi="Times New Roman"/>
          <w:bCs/>
          <w:sz w:val="24"/>
          <w:szCs w:val="24"/>
        </w:rPr>
        <w:t>5.</w:t>
      </w:r>
      <w:r w:rsidR="00F67EDF">
        <w:rPr>
          <w:rFonts w:ascii="Times New Roman" w:hAnsi="Times New Roman"/>
          <w:bCs/>
          <w:sz w:val="24"/>
          <w:szCs w:val="24"/>
        </w:rPr>
        <w:t xml:space="preserve">2 that affirmative action benefited approximately </w:t>
      </w:r>
      <w:r w:rsidR="000E0CF3">
        <w:rPr>
          <w:rFonts w:ascii="Times New Roman" w:hAnsi="Times New Roman"/>
          <w:bCs/>
          <w:sz w:val="24"/>
          <w:szCs w:val="24"/>
        </w:rPr>
        <w:t>four percent</w:t>
      </w:r>
      <w:r w:rsidR="00F67EDF">
        <w:rPr>
          <w:rFonts w:ascii="Times New Roman" w:hAnsi="Times New Roman"/>
          <w:bCs/>
          <w:sz w:val="24"/>
          <w:szCs w:val="24"/>
        </w:rPr>
        <w:t xml:space="preserve"> of the eligible female cohort. Since the socio-economic status of those who benefited is disregarded, it is possible that affirmative action in Kenya is not a measure for equitable distribution of access opportunities for women in Kenya’s higher education system.</w:t>
      </w:r>
      <w:r w:rsidR="00F67EDF" w:rsidRPr="0025225A">
        <w:rPr>
          <w:rFonts w:ascii="Times New Roman" w:hAnsi="Times New Roman"/>
          <w:sz w:val="24"/>
          <w:szCs w:val="24"/>
        </w:rPr>
        <w:t xml:space="preserve"> </w:t>
      </w:r>
      <w:r w:rsidR="00F67EDF">
        <w:rPr>
          <w:rFonts w:ascii="Times New Roman" w:hAnsi="Times New Roman"/>
          <w:sz w:val="24"/>
          <w:szCs w:val="24"/>
        </w:rPr>
        <w:t xml:space="preserve">The intervention merely allows female access and students are placed mostly into general degree programmes. The universities have not developed any institutional interventions to enhance the students’ academic </w:t>
      </w:r>
      <w:r w:rsidR="00F67EDF">
        <w:rPr>
          <w:rFonts w:ascii="Times New Roman" w:hAnsi="Times New Roman"/>
          <w:sz w:val="24"/>
          <w:szCs w:val="24"/>
        </w:rPr>
        <w:lastRenderedPageBreak/>
        <w:t xml:space="preserve">qualifications to access professional degree programmes. </w:t>
      </w:r>
      <w:r w:rsidR="00F67EDF">
        <w:rPr>
          <w:rFonts w:ascii="Times New Roman" w:hAnsi="Times New Roman"/>
          <w:bCs/>
          <w:sz w:val="24"/>
          <w:szCs w:val="24"/>
        </w:rPr>
        <w:t xml:space="preserve"> In Nigeria, current admission status is “between 33-39</w:t>
      </w:r>
      <w:r w:rsidR="000E0CF3">
        <w:rPr>
          <w:rFonts w:ascii="Times New Roman" w:hAnsi="Times New Roman"/>
          <w:bCs/>
          <w:sz w:val="24"/>
          <w:szCs w:val="24"/>
        </w:rPr>
        <w:t xml:space="preserve"> percent</w:t>
      </w:r>
      <w:r w:rsidR="00F67EDF">
        <w:rPr>
          <w:rFonts w:ascii="Times New Roman" w:hAnsi="Times New Roman"/>
          <w:bCs/>
          <w:sz w:val="24"/>
          <w:szCs w:val="24"/>
        </w:rPr>
        <w:t xml:space="preserve"> in favour of females” (Federal Ministry of Education, 2009:58).</w:t>
      </w:r>
    </w:p>
    <w:p w:rsidR="00F67EDF" w:rsidRDefault="00F67EDF" w:rsidP="00F67EDF">
      <w:pPr>
        <w:spacing w:line="360" w:lineRule="auto"/>
        <w:contextualSpacing/>
        <w:jc w:val="both"/>
        <w:rPr>
          <w:rFonts w:ascii="Times New Roman" w:hAnsi="Times New Roman"/>
          <w:bCs/>
          <w:sz w:val="24"/>
          <w:szCs w:val="24"/>
        </w:rPr>
      </w:pPr>
      <w:r>
        <w:rPr>
          <w:rFonts w:ascii="Times New Roman" w:hAnsi="Times New Roman"/>
          <w:bCs/>
          <w:sz w:val="24"/>
          <w:szCs w:val="24"/>
        </w:rPr>
        <w:t xml:space="preserve"> </w:t>
      </w:r>
    </w:p>
    <w:p w:rsidR="00F67EDF" w:rsidRPr="000944EF" w:rsidRDefault="00F405AD" w:rsidP="00F67EDF">
      <w:pPr>
        <w:spacing w:line="360" w:lineRule="auto"/>
        <w:contextualSpacing/>
        <w:jc w:val="both"/>
        <w:rPr>
          <w:rFonts w:ascii="Times New Roman" w:hAnsi="Times New Roman"/>
          <w:b/>
          <w:sz w:val="24"/>
          <w:szCs w:val="24"/>
        </w:rPr>
      </w:pPr>
      <w:r>
        <w:rPr>
          <w:rFonts w:ascii="Times New Roman" w:hAnsi="Times New Roman"/>
          <w:bCs/>
          <w:sz w:val="24"/>
          <w:szCs w:val="24"/>
        </w:rPr>
        <w:t xml:space="preserve">      </w:t>
      </w:r>
      <w:r w:rsidR="00F67EDF">
        <w:rPr>
          <w:rFonts w:ascii="Times New Roman" w:hAnsi="Times New Roman"/>
          <w:bCs/>
          <w:sz w:val="24"/>
          <w:szCs w:val="24"/>
        </w:rPr>
        <w:t>Nigeria has no concessional admission for any category of students and relies completely on the JAMB</w:t>
      </w:r>
      <w:r w:rsidR="000E0CF3">
        <w:rPr>
          <w:rFonts w:ascii="Times New Roman" w:hAnsi="Times New Roman"/>
          <w:bCs/>
          <w:sz w:val="24"/>
          <w:szCs w:val="24"/>
        </w:rPr>
        <w:t>-</w:t>
      </w:r>
      <w:r w:rsidR="00F67EDF">
        <w:rPr>
          <w:rFonts w:ascii="Times New Roman" w:hAnsi="Times New Roman"/>
          <w:bCs/>
          <w:sz w:val="24"/>
          <w:szCs w:val="24"/>
        </w:rPr>
        <w:t>controlled admissions.</w:t>
      </w:r>
      <w:r w:rsidR="00F67EDF">
        <w:rPr>
          <w:rFonts w:ascii="Times New Roman" w:hAnsi="Times New Roman"/>
          <w:sz w:val="24"/>
          <w:szCs w:val="24"/>
        </w:rPr>
        <w:t xml:space="preserve"> </w:t>
      </w:r>
      <w:r w:rsidR="00F67EDF" w:rsidRPr="00314102">
        <w:rPr>
          <w:rFonts w:ascii="Times New Roman" w:hAnsi="Times New Roman"/>
          <w:sz w:val="24"/>
          <w:szCs w:val="24"/>
        </w:rPr>
        <w:t xml:space="preserve">The </w:t>
      </w:r>
      <w:r w:rsidR="000E0CF3">
        <w:rPr>
          <w:rFonts w:ascii="Times New Roman" w:hAnsi="Times New Roman"/>
          <w:sz w:val="24"/>
          <w:szCs w:val="24"/>
        </w:rPr>
        <w:t>f</w:t>
      </w:r>
      <w:r w:rsidR="00F67EDF" w:rsidRPr="00314102">
        <w:rPr>
          <w:rFonts w:ascii="Times New Roman" w:hAnsi="Times New Roman"/>
          <w:sz w:val="24"/>
          <w:szCs w:val="24"/>
        </w:rPr>
        <w:t xml:space="preserve">ederal  and </w:t>
      </w:r>
      <w:r w:rsidR="000E0CF3">
        <w:rPr>
          <w:rFonts w:ascii="Times New Roman" w:hAnsi="Times New Roman"/>
          <w:sz w:val="24"/>
          <w:szCs w:val="24"/>
        </w:rPr>
        <w:t>s</w:t>
      </w:r>
      <w:r w:rsidR="00F67EDF" w:rsidRPr="00314102">
        <w:rPr>
          <w:rFonts w:ascii="Times New Roman" w:hAnsi="Times New Roman"/>
          <w:sz w:val="24"/>
          <w:szCs w:val="24"/>
        </w:rPr>
        <w:t xml:space="preserve">tate </w:t>
      </w:r>
      <w:r w:rsidR="000E0CF3">
        <w:rPr>
          <w:rFonts w:ascii="Times New Roman" w:hAnsi="Times New Roman"/>
          <w:sz w:val="24"/>
          <w:szCs w:val="24"/>
        </w:rPr>
        <w:t>g</w:t>
      </w:r>
      <w:r w:rsidR="00F67EDF" w:rsidRPr="00314102">
        <w:rPr>
          <w:rFonts w:ascii="Times New Roman" w:hAnsi="Times New Roman"/>
          <w:sz w:val="24"/>
          <w:szCs w:val="24"/>
        </w:rPr>
        <w:t>overnments in Nigeria  with the assistance of some international agencies notably UNICEF</w:t>
      </w:r>
      <w:r w:rsidR="000E0CF3">
        <w:rPr>
          <w:rFonts w:ascii="Times New Roman" w:hAnsi="Times New Roman"/>
          <w:sz w:val="24"/>
          <w:szCs w:val="24"/>
        </w:rPr>
        <w:t>,</w:t>
      </w:r>
      <w:r w:rsidR="00F67EDF" w:rsidRPr="00314102">
        <w:rPr>
          <w:rFonts w:ascii="Times New Roman" w:hAnsi="Times New Roman"/>
          <w:sz w:val="24"/>
          <w:szCs w:val="24"/>
        </w:rPr>
        <w:t xml:space="preserve"> have been initiating actions to close  gender gap and increase  </w:t>
      </w:r>
      <w:r w:rsidR="00F67EDF">
        <w:rPr>
          <w:rFonts w:ascii="Times New Roman" w:hAnsi="Times New Roman"/>
          <w:sz w:val="24"/>
          <w:szCs w:val="24"/>
        </w:rPr>
        <w:t>female</w:t>
      </w:r>
      <w:r w:rsidR="00F67EDF" w:rsidRPr="00314102">
        <w:rPr>
          <w:rFonts w:ascii="Times New Roman" w:hAnsi="Times New Roman"/>
          <w:sz w:val="24"/>
          <w:szCs w:val="24"/>
        </w:rPr>
        <w:t xml:space="preserve"> access to education. Most of these externally assisted policy interventions are geared towards promoting </w:t>
      </w:r>
      <w:r w:rsidR="00F67EDF">
        <w:rPr>
          <w:rFonts w:ascii="Times New Roman" w:hAnsi="Times New Roman"/>
          <w:sz w:val="24"/>
          <w:szCs w:val="24"/>
        </w:rPr>
        <w:t>female</w:t>
      </w:r>
      <w:r w:rsidR="00F67EDF" w:rsidRPr="00314102">
        <w:rPr>
          <w:rFonts w:ascii="Times New Roman" w:hAnsi="Times New Roman"/>
          <w:sz w:val="24"/>
          <w:szCs w:val="24"/>
        </w:rPr>
        <w:t xml:space="preserve">s’ access to primary and secondary school education.  In 2001, Nigeria joined the UNICEF Africa </w:t>
      </w:r>
      <w:r w:rsidR="00F67EDF">
        <w:rPr>
          <w:rFonts w:ascii="Times New Roman" w:hAnsi="Times New Roman"/>
          <w:sz w:val="24"/>
          <w:szCs w:val="24"/>
        </w:rPr>
        <w:t>Female</w:t>
      </w:r>
      <w:r w:rsidR="00F67EDF" w:rsidRPr="00314102">
        <w:rPr>
          <w:rFonts w:ascii="Times New Roman" w:hAnsi="Times New Roman"/>
          <w:sz w:val="24"/>
          <w:szCs w:val="24"/>
        </w:rPr>
        <w:t>s’ Education In</w:t>
      </w:r>
      <w:r w:rsidR="00F67EDF">
        <w:rPr>
          <w:rFonts w:ascii="Times New Roman" w:hAnsi="Times New Roman"/>
          <w:sz w:val="24"/>
          <w:szCs w:val="24"/>
        </w:rPr>
        <w:t>itiative (AGEI), which aims</w:t>
      </w:r>
      <w:r w:rsidR="00F67EDF" w:rsidRPr="00314102">
        <w:rPr>
          <w:rFonts w:ascii="Times New Roman" w:hAnsi="Times New Roman"/>
          <w:sz w:val="24"/>
          <w:szCs w:val="24"/>
        </w:rPr>
        <w:t xml:space="preserve"> among other things at using the avenues of public awareness campaign, rallies and seminars to raise national awareness o</w:t>
      </w:r>
      <w:r w:rsidR="000E0CF3">
        <w:rPr>
          <w:rFonts w:ascii="Times New Roman" w:hAnsi="Times New Roman"/>
          <w:sz w:val="24"/>
          <w:szCs w:val="24"/>
        </w:rPr>
        <w:t>f</w:t>
      </w:r>
      <w:r w:rsidR="00F67EDF" w:rsidRPr="00314102">
        <w:rPr>
          <w:rFonts w:ascii="Times New Roman" w:hAnsi="Times New Roman"/>
          <w:sz w:val="24"/>
          <w:szCs w:val="24"/>
        </w:rPr>
        <w:t xml:space="preserve"> </w:t>
      </w:r>
      <w:r w:rsidR="00F67EDF">
        <w:rPr>
          <w:rFonts w:ascii="Times New Roman" w:hAnsi="Times New Roman"/>
          <w:sz w:val="24"/>
          <w:szCs w:val="24"/>
        </w:rPr>
        <w:t>female</w:t>
      </w:r>
      <w:r w:rsidR="00F67EDF" w:rsidRPr="00314102">
        <w:rPr>
          <w:rFonts w:ascii="Times New Roman" w:hAnsi="Times New Roman"/>
          <w:sz w:val="24"/>
          <w:szCs w:val="24"/>
        </w:rPr>
        <w:t xml:space="preserve"> education.  To demonstrate the commitment of UNICEF to the acceleration of </w:t>
      </w:r>
      <w:r w:rsidR="00F67EDF">
        <w:rPr>
          <w:rFonts w:ascii="Times New Roman" w:hAnsi="Times New Roman"/>
          <w:sz w:val="24"/>
          <w:szCs w:val="24"/>
        </w:rPr>
        <w:t>female</w:t>
      </w:r>
      <w:r w:rsidR="00F67EDF" w:rsidRPr="00314102">
        <w:rPr>
          <w:rFonts w:ascii="Times New Roman" w:hAnsi="Times New Roman"/>
          <w:sz w:val="24"/>
          <w:szCs w:val="24"/>
        </w:rPr>
        <w:t xml:space="preserve"> education in Nigeria, the organization made </w:t>
      </w:r>
      <w:r w:rsidR="00F67EDF">
        <w:rPr>
          <w:rFonts w:ascii="Times New Roman" w:hAnsi="Times New Roman"/>
          <w:sz w:val="24"/>
          <w:szCs w:val="24"/>
        </w:rPr>
        <w:t>female</w:t>
      </w:r>
      <w:r w:rsidR="00F67EDF" w:rsidRPr="00314102">
        <w:rPr>
          <w:rFonts w:ascii="Times New Roman" w:hAnsi="Times New Roman"/>
          <w:sz w:val="24"/>
          <w:szCs w:val="24"/>
        </w:rPr>
        <w:t xml:space="preserve"> education a priority in its 2005-2007strategic plan.  The Nigeria Country Office (NCO, 2007)</w:t>
      </w:r>
      <w:r w:rsidR="00F67EDF">
        <w:rPr>
          <w:rFonts w:ascii="Times New Roman" w:hAnsi="Times New Roman"/>
          <w:sz w:val="24"/>
          <w:szCs w:val="24"/>
        </w:rPr>
        <w:t>,</w:t>
      </w:r>
      <w:r w:rsidR="00F67EDF" w:rsidRPr="00314102">
        <w:rPr>
          <w:rFonts w:ascii="Times New Roman" w:hAnsi="Times New Roman"/>
          <w:sz w:val="24"/>
          <w:szCs w:val="24"/>
        </w:rPr>
        <w:t xml:space="preserve"> reports that in July 2003, the Federal Government of Nigeria (FGN) and UNICEF launched the Strategy for Acceleration of </w:t>
      </w:r>
      <w:r w:rsidR="00F67EDF">
        <w:rPr>
          <w:rFonts w:ascii="Times New Roman" w:hAnsi="Times New Roman"/>
          <w:sz w:val="24"/>
          <w:szCs w:val="24"/>
        </w:rPr>
        <w:t>Female</w:t>
      </w:r>
      <w:r w:rsidR="00F67EDF" w:rsidRPr="00314102">
        <w:rPr>
          <w:rFonts w:ascii="Times New Roman" w:hAnsi="Times New Roman"/>
          <w:sz w:val="24"/>
          <w:szCs w:val="24"/>
        </w:rPr>
        <w:t>s’ Education in Nigeria (SAGEN)</w:t>
      </w:r>
      <w:r w:rsidR="000E0CF3">
        <w:rPr>
          <w:rFonts w:ascii="Times New Roman" w:hAnsi="Times New Roman"/>
          <w:sz w:val="24"/>
          <w:szCs w:val="24"/>
        </w:rPr>
        <w:t>;</w:t>
      </w:r>
      <w:r w:rsidR="00F67EDF" w:rsidRPr="00314102">
        <w:rPr>
          <w:rFonts w:ascii="Times New Roman" w:hAnsi="Times New Roman"/>
          <w:sz w:val="24"/>
          <w:szCs w:val="24"/>
        </w:rPr>
        <w:t xml:space="preserve"> </w:t>
      </w:r>
      <w:r w:rsidR="000E0CF3">
        <w:rPr>
          <w:rFonts w:ascii="Times New Roman" w:hAnsi="Times New Roman"/>
          <w:sz w:val="24"/>
          <w:szCs w:val="24"/>
        </w:rPr>
        <w:t>t</w:t>
      </w:r>
      <w:r w:rsidR="00F67EDF" w:rsidRPr="00314102">
        <w:rPr>
          <w:rFonts w:ascii="Times New Roman" w:hAnsi="Times New Roman"/>
          <w:sz w:val="24"/>
          <w:szCs w:val="24"/>
        </w:rPr>
        <w:t xml:space="preserve">his project resulted in the launching of </w:t>
      </w:r>
      <w:r w:rsidR="00F67EDF">
        <w:rPr>
          <w:rFonts w:ascii="Times New Roman" w:hAnsi="Times New Roman"/>
          <w:sz w:val="24"/>
          <w:szCs w:val="24"/>
        </w:rPr>
        <w:t>Female</w:t>
      </w:r>
      <w:r w:rsidR="00F67EDF" w:rsidRPr="00314102">
        <w:rPr>
          <w:rFonts w:ascii="Times New Roman" w:hAnsi="Times New Roman"/>
          <w:sz w:val="24"/>
          <w:szCs w:val="24"/>
        </w:rPr>
        <w:t xml:space="preserve">s’ Education Project (GEP), a joint initiative between FGN, DFID and UNICEF   aimed at eliminating gender disparity in all levels of education no later than 2015. Evaluation of the GEP programme in 2006 revealed improvement in the percentage of </w:t>
      </w:r>
      <w:r w:rsidR="00F67EDF">
        <w:rPr>
          <w:rFonts w:ascii="Times New Roman" w:hAnsi="Times New Roman"/>
          <w:sz w:val="24"/>
          <w:szCs w:val="24"/>
        </w:rPr>
        <w:t>female</w:t>
      </w:r>
      <w:r w:rsidR="00F67EDF" w:rsidRPr="00314102">
        <w:rPr>
          <w:rFonts w:ascii="Times New Roman" w:hAnsi="Times New Roman"/>
          <w:sz w:val="24"/>
          <w:szCs w:val="24"/>
        </w:rPr>
        <w:t xml:space="preserve">s attending school.  According to the NCO report, </w:t>
      </w:r>
      <w:r w:rsidR="00F67EDF">
        <w:rPr>
          <w:rFonts w:ascii="Times New Roman" w:hAnsi="Times New Roman"/>
          <w:sz w:val="24"/>
          <w:szCs w:val="24"/>
        </w:rPr>
        <w:t>female</w:t>
      </w:r>
      <w:r w:rsidR="00F67EDF" w:rsidRPr="00314102">
        <w:rPr>
          <w:rFonts w:ascii="Times New Roman" w:hAnsi="Times New Roman"/>
          <w:sz w:val="24"/>
          <w:szCs w:val="24"/>
        </w:rPr>
        <w:t>s’ enro</w:t>
      </w:r>
      <w:r w:rsidR="000E0CF3">
        <w:rPr>
          <w:rFonts w:ascii="Times New Roman" w:hAnsi="Times New Roman"/>
          <w:sz w:val="24"/>
          <w:szCs w:val="24"/>
        </w:rPr>
        <w:t>l</w:t>
      </w:r>
      <w:r w:rsidR="00F67EDF" w:rsidRPr="00314102">
        <w:rPr>
          <w:rFonts w:ascii="Times New Roman" w:hAnsi="Times New Roman"/>
          <w:sz w:val="24"/>
          <w:szCs w:val="24"/>
        </w:rPr>
        <w:t>lment increased by 15</w:t>
      </w:r>
      <w:r w:rsidR="000E0CF3">
        <w:rPr>
          <w:rFonts w:ascii="Times New Roman" w:hAnsi="Times New Roman"/>
          <w:sz w:val="24"/>
          <w:szCs w:val="24"/>
        </w:rPr>
        <w:t xml:space="preserve"> percent</w:t>
      </w:r>
      <w:r w:rsidR="00F67EDF" w:rsidRPr="00314102">
        <w:rPr>
          <w:rFonts w:ascii="Times New Roman" w:hAnsi="Times New Roman"/>
          <w:sz w:val="24"/>
          <w:szCs w:val="24"/>
        </w:rPr>
        <w:t xml:space="preserve"> with more than 25</w:t>
      </w:r>
      <w:r w:rsidR="008A3966">
        <w:rPr>
          <w:rFonts w:ascii="Times New Roman" w:hAnsi="Times New Roman"/>
          <w:sz w:val="24"/>
          <w:szCs w:val="24"/>
        </w:rPr>
        <w:t xml:space="preserve"> percent</w:t>
      </w:r>
      <w:r w:rsidR="00F67EDF" w:rsidRPr="00314102">
        <w:rPr>
          <w:rFonts w:ascii="Times New Roman" w:hAnsi="Times New Roman"/>
          <w:sz w:val="24"/>
          <w:szCs w:val="24"/>
        </w:rPr>
        <w:t xml:space="preserve">  actual attendance  indicating that the GEP resulted in about 12,000 more </w:t>
      </w:r>
      <w:r w:rsidR="00F67EDF">
        <w:rPr>
          <w:rFonts w:ascii="Times New Roman" w:hAnsi="Times New Roman"/>
          <w:sz w:val="24"/>
          <w:szCs w:val="24"/>
        </w:rPr>
        <w:t>female</w:t>
      </w:r>
      <w:r w:rsidR="00F67EDF" w:rsidRPr="00314102">
        <w:rPr>
          <w:rFonts w:ascii="Times New Roman" w:hAnsi="Times New Roman"/>
          <w:sz w:val="24"/>
          <w:szCs w:val="24"/>
        </w:rPr>
        <w:t xml:space="preserve">s attending schools regularly than before. The report affirms that gender gaps were reduced to about two thirds of what they used to be. While acknowledging that gender gap has narrowed from 12 to </w:t>
      </w:r>
      <w:r w:rsidR="008A3966">
        <w:rPr>
          <w:rFonts w:ascii="Times New Roman" w:hAnsi="Times New Roman"/>
          <w:sz w:val="24"/>
          <w:szCs w:val="24"/>
        </w:rPr>
        <w:t>ten</w:t>
      </w:r>
      <w:r w:rsidR="00F67EDF" w:rsidRPr="00314102">
        <w:rPr>
          <w:rFonts w:ascii="Times New Roman" w:hAnsi="Times New Roman"/>
          <w:sz w:val="24"/>
          <w:szCs w:val="24"/>
        </w:rPr>
        <w:t xml:space="preserve"> points, the NCO affirms the existence of wide variations of gender gap in </w:t>
      </w:r>
      <w:r w:rsidR="00F67EDF">
        <w:rPr>
          <w:rFonts w:ascii="Times New Roman" w:hAnsi="Times New Roman"/>
          <w:sz w:val="24"/>
          <w:szCs w:val="24"/>
        </w:rPr>
        <w:t>female</w:t>
      </w:r>
      <w:r w:rsidR="00F67EDF" w:rsidRPr="00314102">
        <w:rPr>
          <w:rFonts w:ascii="Times New Roman" w:hAnsi="Times New Roman"/>
          <w:sz w:val="24"/>
          <w:szCs w:val="24"/>
        </w:rPr>
        <w:t xml:space="preserve"> access to education across the </w:t>
      </w:r>
      <w:r w:rsidR="008A3966">
        <w:rPr>
          <w:rFonts w:ascii="Times New Roman" w:hAnsi="Times New Roman"/>
          <w:sz w:val="24"/>
          <w:szCs w:val="24"/>
        </w:rPr>
        <w:t>s</w:t>
      </w:r>
      <w:r w:rsidR="00F67EDF" w:rsidRPr="00314102">
        <w:rPr>
          <w:rFonts w:ascii="Times New Roman" w:hAnsi="Times New Roman"/>
          <w:sz w:val="24"/>
          <w:szCs w:val="24"/>
        </w:rPr>
        <w:t xml:space="preserve">tates in Nigeria with the worst situations existing in </w:t>
      </w:r>
      <w:r w:rsidR="008A3966">
        <w:rPr>
          <w:rFonts w:ascii="Times New Roman" w:hAnsi="Times New Roman"/>
          <w:sz w:val="24"/>
          <w:szCs w:val="24"/>
        </w:rPr>
        <w:t>s</w:t>
      </w:r>
      <w:r w:rsidR="00F67EDF" w:rsidRPr="00314102">
        <w:rPr>
          <w:rFonts w:ascii="Times New Roman" w:hAnsi="Times New Roman"/>
          <w:sz w:val="24"/>
          <w:szCs w:val="24"/>
        </w:rPr>
        <w:t>tates in the North Central and North West geo-political zones.</w:t>
      </w:r>
    </w:p>
    <w:p w:rsidR="00F67EDF" w:rsidRDefault="00F67EDF" w:rsidP="00F67EDF">
      <w:pPr>
        <w:spacing w:line="360" w:lineRule="auto"/>
        <w:contextualSpacing/>
        <w:jc w:val="both"/>
        <w:rPr>
          <w:rFonts w:ascii="Times New Roman" w:hAnsi="Times New Roman"/>
          <w:sz w:val="24"/>
          <w:szCs w:val="24"/>
        </w:rPr>
      </w:pPr>
    </w:p>
    <w:p w:rsidR="00F67EDF"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sidRPr="00314102">
        <w:rPr>
          <w:rFonts w:ascii="Times New Roman" w:hAnsi="Times New Roman"/>
          <w:sz w:val="24"/>
          <w:szCs w:val="24"/>
        </w:rPr>
        <w:t xml:space="preserve">In an effort to achieve the goals of Education for All (EFA), most of the Northern </w:t>
      </w:r>
      <w:r w:rsidR="008A3966">
        <w:rPr>
          <w:rFonts w:ascii="Times New Roman" w:hAnsi="Times New Roman"/>
          <w:sz w:val="24"/>
          <w:szCs w:val="24"/>
        </w:rPr>
        <w:t>s</w:t>
      </w:r>
      <w:r w:rsidR="00F67EDF" w:rsidRPr="00314102">
        <w:rPr>
          <w:rFonts w:ascii="Times New Roman" w:hAnsi="Times New Roman"/>
          <w:sz w:val="24"/>
          <w:szCs w:val="24"/>
        </w:rPr>
        <w:t xml:space="preserve">tate governments have instituted a free lunch policy, which involves not only giving pupils’ free lunch in schools but also the provision of free writing and reading materials as well as free uniform and free textbooks.  However, these initiatives are increasing </w:t>
      </w:r>
      <w:r w:rsidR="00F67EDF">
        <w:rPr>
          <w:rFonts w:ascii="Times New Roman" w:hAnsi="Times New Roman"/>
          <w:sz w:val="24"/>
          <w:szCs w:val="24"/>
        </w:rPr>
        <w:t>female</w:t>
      </w:r>
      <w:r w:rsidR="00F67EDF" w:rsidRPr="00314102">
        <w:rPr>
          <w:rFonts w:ascii="Times New Roman" w:hAnsi="Times New Roman"/>
          <w:sz w:val="24"/>
          <w:szCs w:val="24"/>
        </w:rPr>
        <w:t xml:space="preserve">s’ access to </w:t>
      </w:r>
      <w:r w:rsidR="00F67EDF" w:rsidRPr="00314102">
        <w:rPr>
          <w:rFonts w:ascii="Times New Roman" w:hAnsi="Times New Roman"/>
          <w:sz w:val="24"/>
          <w:szCs w:val="24"/>
        </w:rPr>
        <w:lastRenderedPageBreak/>
        <w:t>education at the primary and secondary school levels</w:t>
      </w:r>
      <w:r w:rsidR="00F67EDF">
        <w:rPr>
          <w:rFonts w:ascii="Times New Roman" w:hAnsi="Times New Roman"/>
          <w:sz w:val="24"/>
          <w:szCs w:val="24"/>
        </w:rPr>
        <w:t>. They have</w:t>
      </w:r>
      <w:r w:rsidR="00F67EDF" w:rsidRPr="00314102">
        <w:rPr>
          <w:rFonts w:ascii="Times New Roman" w:hAnsi="Times New Roman"/>
          <w:sz w:val="24"/>
          <w:szCs w:val="24"/>
        </w:rPr>
        <w:t xml:space="preserve"> not </w:t>
      </w:r>
      <w:r w:rsidR="00F67EDF">
        <w:rPr>
          <w:rFonts w:ascii="Times New Roman" w:hAnsi="Times New Roman"/>
          <w:sz w:val="24"/>
          <w:szCs w:val="24"/>
        </w:rPr>
        <w:t>remarkably increased</w:t>
      </w:r>
      <w:r w:rsidR="00F67EDF" w:rsidRPr="00314102">
        <w:rPr>
          <w:rFonts w:ascii="Times New Roman" w:hAnsi="Times New Roman"/>
          <w:sz w:val="24"/>
          <w:szCs w:val="24"/>
        </w:rPr>
        <w:t xml:space="preserve"> </w:t>
      </w:r>
      <w:r w:rsidR="00F67EDF">
        <w:rPr>
          <w:rFonts w:ascii="Times New Roman" w:hAnsi="Times New Roman"/>
          <w:sz w:val="24"/>
          <w:szCs w:val="24"/>
        </w:rPr>
        <w:t>female</w:t>
      </w:r>
      <w:r w:rsidR="00F67EDF" w:rsidRPr="00314102">
        <w:rPr>
          <w:rFonts w:ascii="Times New Roman" w:hAnsi="Times New Roman"/>
          <w:sz w:val="24"/>
          <w:szCs w:val="24"/>
        </w:rPr>
        <w:t xml:space="preserve"> access to higher education in these </w:t>
      </w:r>
      <w:r w:rsidR="008A3966">
        <w:rPr>
          <w:rFonts w:ascii="Times New Roman" w:hAnsi="Times New Roman"/>
          <w:sz w:val="24"/>
          <w:szCs w:val="24"/>
        </w:rPr>
        <w:t>s</w:t>
      </w:r>
      <w:r w:rsidR="00F67EDF" w:rsidRPr="00314102">
        <w:rPr>
          <w:rFonts w:ascii="Times New Roman" w:hAnsi="Times New Roman"/>
          <w:sz w:val="24"/>
          <w:szCs w:val="24"/>
        </w:rPr>
        <w:t xml:space="preserve">tates. The percentage of </w:t>
      </w:r>
      <w:r w:rsidR="00F67EDF">
        <w:rPr>
          <w:rFonts w:ascii="Times New Roman" w:hAnsi="Times New Roman"/>
          <w:sz w:val="24"/>
          <w:szCs w:val="24"/>
        </w:rPr>
        <w:t>female</w:t>
      </w:r>
      <w:r w:rsidR="00F67EDF" w:rsidRPr="00314102">
        <w:rPr>
          <w:rFonts w:ascii="Times New Roman" w:hAnsi="Times New Roman"/>
          <w:sz w:val="24"/>
          <w:szCs w:val="24"/>
        </w:rPr>
        <w:t>s gaining admission into higher institutions is still low. For instance</w:t>
      </w:r>
      <w:r w:rsidR="008A3966">
        <w:rPr>
          <w:rFonts w:ascii="Times New Roman" w:hAnsi="Times New Roman"/>
          <w:sz w:val="24"/>
          <w:szCs w:val="24"/>
        </w:rPr>
        <w:t>,</w:t>
      </w:r>
      <w:r w:rsidR="00F67EDF" w:rsidRPr="00314102">
        <w:rPr>
          <w:rFonts w:ascii="Times New Roman" w:hAnsi="Times New Roman"/>
          <w:sz w:val="24"/>
          <w:szCs w:val="24"/>
        </w:rPr>
        <w:t xml:space="preserve"> in Niger State which is one of the </w:t>
      </w:r>
      <w:r w:rsidR="008A3966">
        <w:rPr>
          <w:rFonts w:ascii="Times New Roman" w:hAnsi="Times New Roman"/>
          <w:sz w:val="24"/>
          <w:szCs w:val="24"/>
        </w:rPr>
        <w:t>s</w:t>
      </w:r>
      <w:r w:rsidR="00F67EDF" w:rsidRPr="00314102">
        <w:rPr>
          <w:rFonts w:ascii="Times New Roman" w:hAnsi="Times New Roman"/>
          <w:sz w:val="24"/>
          <w:szCs w:val="24"/>
        </w:rPr>
        <w:t xml:space="preserve">tates in the North Central geo-political zone of Nigeria where the free lunch policy is being implemented, the State Government   recognizes    “gender imbalance at all levels of education” as one of the sectoral challenges    (Niger State of Nigeria 2007:42). The document reveals that  to face this challenge, the </w:t>
      </w:r>
      <w:r w:rsidR="008A3966">
        <w:rPr>
          <w:rFonts w:ascii="Times New Roman" w:hAnsi="Times New Roman"/>
          <w:sz w:val="24"/>
          <w:szCs w:val="24"/>
        </w:rPr>
        <w:t>s</w:t>
      </w:r>
      <w:r w:rsidR="00F67EDF" w:rsidRPr="00314102">
        <w:rPr>
          <w:rFonts w:ascii="Times New Roman" w:hAnsi="Times New Roman"/>
          <w:sz w:val="24"/>
          <w:szCs w:val="24"/>
        </w:rPr>
        <w:t>tate Government   not only supports the UNICEF GEP project</w:t>
      </w:r>
      <w:r w:rsidR="008A3966">
        <w:rPr>
          <w:rFonts w:ascii="Times New Roman" w:hAnsi="Times New Roman"/>
          <w:sz w:val="24"/>
          <w:szCs w:val="24"/>
        </w:rPr>
        <w:t>,</w:t>
      </w:r>
      <w:r w:rsidR="00F67EDF" w:rsidRPr="00314102">
        <w:rPr>
          <w:rFonts w:ascii="Times New Roman" w:hAnsi="Times New Roman"/>
          <w:sz w:val="24"/>
          <w:szCs w:val="24"/>
        </w:rPr>
        <w:t xml:space="preserve"> but also offers free education to </w:t>
      </w:r>
      <w:r w:rsidR="00F67EDF">
        <w:rPr>
          <w:rFonts w:ascii="Times New Roman" w:hAnsi="Times New Roman"/>
          <w:sz w:val="24"/>
          <w:szCs w:val="24"/>
        </w:rPr>
        <w:t>female</w:t>
      </w:r>
      <w:r w:rsidR="00F67EDF" w:rsidRPr="00314102">
        <w:rPr>
          <w:rFonts w:ascii="Times New Roman" w:hAnsi="Times New Roman"/>
          <w:sz w:val="24"/>
          <w:szCs w:val="24"/>
        </w:rPr>
        <w:t xml:space="preserve">s at all levels of </w:t>
      </w:r>
      <w:r w:rsidR="00F67EDF">
        <w:rPr>
          <w:rFonts w:ascii="Times New Roman" w:hAnsi="Times New Roman"/>
          <w:sz w:val="24"/>
          <w:szCs w:val="24"/>
        </w:rPr>
        <w:t>education.  In addition</w:t>
      </w:r>
      <w:r w:rsidR="00F67EDF" w:rsidRPr="00314102">
        <w:rPr>
          <w:rFonts w:ascii="Times New Roman" w:hAnsi="Times New Roman"/>
          <w:sz w:val="24"/>
          <w:szCs w:val="24"/>
        </w:rPr>
        <w:t>, to ensure that lack of financial resources does not prevent any qualified student from taking external examinations at the end of senior secondary educa</w:t>
      </w:r>
      <w:r w:rsidR="00F67EDF">
        <w:rPr>
          <w:rFonts w:ascii="Times New Roman" w:hAnsi="Times New Roman"/>
          <w:sz w:val="24"/>
          <w:szCs w:val="24"/>
        </w:rPr>
        <w:t>tion, the</w:t>
      </w:r>
      <w:r w:rsidR="00F67EDF" w:rsidRPr="00314102">
        <w:rPr>
          <w:rFonts w:ascii="Times New Roman" w:hAnsi="Times New Roman"/>
          <w:sz w:val="24"/>
          <w:szCs w:val="24"/>
        </w:rPr>
        <w:t xml:space="preserve"> government pays the</w:t>
      </w:r>
      <w:r w:rsidR="008A3966">
        <w:rPr>
          <w:rFonts w:ascii="Times New Roman" w:hAnsi="Times New Roman"/>
          <w:sz w:val="24"/>
          <w:szCs w:val="24"/>
        </w:rPr>
        <w:t>ir</w:t>
      </w:r>
      <w:r w:rsidR="00F67EDF" w:rsidRPr="00314102">
        <w:rPr>
          <w:rFonts w:ascii="Times New Roman" w:hAnsi="Times New Roman"/>
          <w:sz w:val="24"/>
          <w:szCs w:val="24"/>
        </w:rPr>
        <w:t xml:space="preserve"> examination fees directly to the relevant examination bodies such as the West African Examinations Council (WAEC) and the National Examinations Council (NECO).  </w:t>
      </w:r>
      <w:r w:rsidR="00F67EDF">
        <w:rPr>
          <w:rFonts w:ascii="Times New Roman" w:hAnsi="Times New Roman"/>
          <w:sz w:val="24"/>
          <w:szCs w:val="24"/>
        </w:rPr>
        <w:t xml:space="preserve"> Despite these institutional interventions, the overall data on</w:t>
      </w:r>
      <w:r w:rsidR="00F67EDF" w:rsidRPr="00392CF2">
        <w:rPr>
          <w:rFonts w:ascii="Times New Roman" w:hAnsi="Times New Roman"/>
          <w:sz w:val="24"/>
          <w:szCs w:val="24"/>
        </w:rPr>
        <w:t xml:space="preserve"> enro</w:t>
      </w:r>
      <w:r w:rsidR="008A3966">
        <w:rPr>
          <w:rFonts w:ascii="Times New Roman" w:hAnsi="Times New Roman"/>
          <w:sz w:val="24"/>
          <w:szCs w:val="24"/>
        </w:rPr>
        <w:t>l</w:t>
      </w:r>
      <w:r w:rsidR="00F67EDF" w:rsidRPr="00392CF2">
        <w:rPr>
          <w:rFonts w:ascii="Times New Roman" w:hAnsi="Times New Roman"/>
          <w:sz w:val="24"/>
          <w:szCs w:val="24"/>
        </w:rPr>
        <w:t>lment patterns in</w:t>
      </w:r>
      <w:r w:rsidR="00F67EDF">
        <w:rPr>
          <w:rFonts w:ascii="Times New Roman" w:hAnsi="Times New Roman"/>
          <w:sz w:val="24"/>
          <w:szCs w:val="24"/>
        </w:rPr>
        <w:t xml:space="preserve"> Nigeria</w:t>
      </w:r>
      <w:r w:rsidR="00F67EDF" w:rsidRPr="00392CF2">
        <w:rPr>
          <w:rFonts w:ascii="Times New Roman" w:hAnsi="Times New Roman"/>
          <w:sz w:val="24"/>
          <w:szCs w:val="24"/>
        </w:rPr>
        <w:t xml:space="preserve"> public universities show that in higher education</w:t>
      </w:r>
      <w:r w:rsidR="008A3966">
        <w:rPr>
          <w:rFonts w:ascii="Times New Roman" w:hAnsi="Times New Roman"/>
          <w:sz w:val="24"/>
          <w:szCs w:val="24"/>
        </w:rPr>
        <w:t>,</w:t>
      </w:r>
      <w:r w:rsidR="00F67EDF" w:rsidRPr="00392CF2">
        <w:rPr>
          <w:rFonts w:ascii="Times New Roman" w:hAnsi="Times New Roman"/>
          <w:sz w:val="24"/>
          <w:szCs w:val="24"/>
        </w:rPr>
        <w:t xml:space="preserve"> female enro</w:t>
      </w:r>
      <w:r w:rsidR="008A3966">
        <w:rPr>
          <w:rFonts w:ascii="Times New Roman" w:hAnsi="Times New Roman"/>
          <w:sz w:val="24"/>
          <w:szCs w:val="24"/>
        </w:rPr>
        <w:t>l</w:t>
      </w:r>
      <w:r w:rsidR="00F67EDF" w:rsidRPr="00392CF2">
        <w:rPr>
          <w:rFonts w:ascii="Times New Roman" w:hAnsi="Times New Roman"/>
          <w:sz w:val="24"/>
          <w:szCs w:val="24"/>
        </w:rPr>
        <w:t>lment in science and mathematics-based programmes is still low</w:t>
      </w:r>
    </w:p>
    <w:p w:rsidR="00F67EDF" w:rsidRDefault="00F67EDF" w:rsidP="00F67EDF">
      <w:pPr>
        <w:spacing w:line="360" w:lineRule="auto"/>
        <w:contextualSpacing/>
        <w:jc w:val="both"/>
        <w:rPr>
          <w:rFonts w:ascii="Times New Roman" w:hAnsi="Times New Roman"/>
          <w:sz w:val="24"/>
          <w:szCs w:val="24"/>
        </w:rPr>
      </w:pPr>
    </w:p>
    <w:p w:rsidR="00F67EDF" w:rsidRPr="000944EF" w:rsidRDefault="00F67EDF" w:rsidP="00F67EDF">
      <w:pPr>
        <w:spacing w:line="360" w:lineRule="auto"/>
        <w:contextualSpacing/>
        <w:jc w:val="both"/>
        <w:rPr>
          <w:rFonts w:ascii="Times New Roman" w:hAnsi="Times New Roman"/>
          <w:sz w:val="24"/>
          <w:szCs w:val="24"/>
        </w:rPr>
      </w:pPr>
      <w:r>
        <w:rPr>
          <w:rFonts w:ascii="Times New Roman" w:hAnsi="Times New Roman"/>
          <w:b/>
          <w:sz w:val="24"/>
          <w:szCs w:val="24"/>
        </w:rPr>
        <w:t>The N</w:t>
      </w:r>
      <w:r w:rsidRPr="00092BBA">
        <w:rPr>
          <w:rFonts w:ascii="Times New Roman" w:hAnsi="Times New Roman"/>
          <w:b/>
          <w:sz w:val="24"/>
          <w:szCs w:val="24"/>
        </w:rPr>
        <w:t>eed for Widening Access Coupled with Redistribution of Opportunity</w:t>
      </w:r>
    </w:p>
    <w:p w:rsidR="00070F14" w:rsidRDefault="008A3966" w:rsidP="00F67EDF">
      <w:pPr>
        <w:spacing w:line="360" w:lineRule="auto"/>
        <w:contextualSpacing/>
        <w:jc w:val="both"/>
        <w:rPr>
          <w:rFonts w:ascii="Times New Roman" w:hAnsi="Times New Roman"/>
          <w:sz w:val="24"/>
          <w:szCs w:val="24"/>
        </w:rPr>
      </w:pPr>
      <w:r>
        <w:rPr>
          <w:rFonts w:ascii="Times New Roman" w:hAnsi="Times New Roman"/>
          <w:sz w:val="24"/>
          <w:szCs w:val="24"/>
        </w:rPr>
        <w:t>T</w:t>
      </w:r>
      <w:r w:rsidR="00F67EDF">
        <w:rPr>
          <w:rFonts w:ascii="Times New Roman" w:hAnsi="Times New Roman"/>
          <w:sz w:val="24"/>
          <w:szCs w:val="24"/>
        </w:rPr>
        <w:t xml:space="preserve">he number of </w:t>
      </w:r>
      <w:r>
        <w:rPr>
          <w:rFonts w:ascii="Times New Roman" w:hAnsi="Times New Roman"/>
          <w:sz w:val="24"/>
          <w:szCs w:val="24"/>
        </w:rPr>
        <w:t>female</w:t>
      </w:r>
      <w:r w:rsidR="00F67EDF">
        <w:rPr>
          <w:rFonts w:ascii="Times New Roman" w:hAnsi="Times New Roman"/>
          <w:sz w:val="24"/>
          <w:szCs w:val="24"/>
        </w:rPr>
        <w:t xml:space="preserve"> students entering universities as private students has actually increased. This increase has not however been based on broad social access criteria. Rather, </w:t>
      </w:r>
      <w:r>
        <w:rPr>
          <w:rFonts w:ascii="Times New Roman" w:hAnsi="Times New Roman"/>
          <w:sz w:val="24"/>
          <w:szCs w:val="24"/>
        </w:rPr>
        <w:t xml:space="preserve">it </w:t>
      </w:r>
      <w:r w:rsidR="00F67EDF">
        <w:rPr>
          <w:rFonts w:ascii="Times New Roman" w:hAnsi="Times New Roman"/>
          <w:sz w:val="24"/>
          <w:szCs w:val="24"/>
        </w:rPr>
        <w:t>represents an increasing number of women workers and women from wealthy families who are now accessing university education locally (Oanda, Fatuma and Wesonga, 2008)</w:t>
      </w:r>
      <w:r w:rsidR="00070F14">
        <w:rPr>
          <w:rFonts w:ascii="Times New Roman" w:hAnsi="Times New Roman"/>
          <w:sz w:val="24"/>
          <w:szCs w:val="24"/>
        </w:rPr>
        <w:t xml:space="preserve"> and has </w:t>
      </w:r>
      <w:r w:rsidR="00F67EDF">
        <w:rPr>
          <w:rFonts w:ascii="Times New Roman" w:hAnsi="Times New Roman"/>
          <w:sz w:val="24"/>
          <w:szCs w:val="24"/>
        </w:rPr>
        <w:t xml:space="preserve">masked the plight of </w:t>
      </w:r>
      <w:r w:rsidR="00070F14">
        <w:rPr>
          <w:rFonts w:ascii="Times New Roman" w:hAnsi="Times New Roman"/>
          <w:sz w:val="24"/>
          <w:szCs w:val="24"/>
        </w:rPr>
        <w:t xml:space="preserve">poor </w:t>
      </w:r>
      <w:r w:rsidR="00F67EDF">
        <w:rPr>
          <w:rFonts w:ascii="Times New Roman" w:hAnsi="Times New Roman"/>
          <w:sz w:val="24"/>
          <w:szCs w:val="24"/>
        </w:rPr>
        <w:t xml:space="preserve">female students and </w:t>
      </w:r>
      <w:r w:rsidR="00070F14">
        <w:rPr>
          <w:rFonts w:ascii="Times New Roman" w:hAnsi="Times New Roman"/>
          <w:sz w:val="24"/>
          <w:szCs w:val="24"/>
        </w:rPr>
        <w:t>female</w:t>
      </w:r>
      <w:r w:rsidR="00F67EDF">
        <w:rPr>
          <w:rFonts w:ascii="Times New Roman" w:hAnsi="Times New Roman"/>
          <w:sz w:val="24"/>
          <w:szCs w:val="24"/>
        </w:rPr>
        <w:t xml:space="preserve"> high school </w:t>
      </w:r>
      <w:r w:rsidR="00070F14">
        <w:rPr>
          <w:rFonts w:ascii="Times New Roman" w:hAnsi="Times New Roman"/>
          <w:sz w:val="24"/>
          <w:szCs w:val="24"/>
        </w:rPr>
        <w:t xml:space="preserve">graduates </w:t>
      </w:r>
      <w:r w:rsidR="00F67EDF">
        <w:rPr>
          <w:rFonts w:ascii="Times New Roman" w:hAnsi="Times New Roman"/>
          <w:sz w:val="24"/>
          <w:szCs w:val="24"/>
        </w:rPr>
        <w:t>who cannot access university education. Even when women and other disadvantaged students from poor backgrounds access universities, either through the regular or parallel programs, there are no institutional programs to support the academic progress of these students.</w:t>
      </w:r>
    </w:p>
    <w:p w:rsidR="00070F14" w:rsidRDefault="00070F14" w:rsidP="00F67EDF">
      <w:pPr>
        <w:spacing w:line="360" w:lineRule="auto"/>
        <w:contextualSpacing/>
        <w:jc w:val="both"/>
        <w:rPr>
          <w:rFonts w:ascii="Times New Roman" w:hAnsi="Times New Roman"/>
          <w:sz w:val="24"/>
          <w:szCs w:val="24"/>
        </w:rPr>
      </w:pPr>
    </w:p>
    <w:p w:rsidR="00F67EDF" w:rsidRPr="00EC2BEC" w:rsidRDefault="00F67EDF"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405AD">
        <w:rPr>
          <w:rFonts w:ascii="Times New Roman" w:hAnsi="Times New Roman"/>
          <w:sz w:val="24"/>
          <w:szCs w:val="24"/>
        </w:rPr>
        <w:t xml:space="preserve">      </w:t>
      </w:r>
      <w:r>
        <w:rPr>
          <w:rFonts w:ascii="Times New Roman" w:hAnsi="Times New Roman"/>
          <w:sz w:val="24"/>
          <w:szCs w:val="24"/>
        </w:rPr>
        <w:t>Second, affirmative policies implemented from the 1990s for women and students from disadvantaged backgrounds are not being enhanced because of the false picture created by the above growth in enro</w:t>
      </w:r>
      <w:r w:rsidR="00070F14">
        <w:rPr>
          <w:rFonts w:ascii="Times New Roman" w:hAnsi="Times New Roman"/>
          <w:sz w:val="24"/>
          <w:szCs w:val="24"/>
        </w:rPr>
        <w:t>l</w:t>
      </w:r>
      <w:r>
        <w:rPr>
          <w:rFonts w:ascii="Times New Roman" w:hAnsi="Times New Roman"/>
          <w:sz w:val="24"/>
          <w:szCs w:val="24"/>
        </w:rPr>
        <w:t xml:space="preserve">lments. Third, institutions have not put in place mechanisms to </w:t>
      </w:r>
      <w:r w:rsidR="00070F14">
        <w:rPr>
          <w:rFonts w:ascii="Times New Roman" w:hAnsi="Times New Roman"/>
          <w:sz w:val="24"/>
          <w:szCs w:val="24"/>
        </w:rPr>
        <w:t xml:space="preserve">help them cope </w:t>
      </w:r>
      <w:r>
        <w:rPr>
          <w:rFonts w:ascii="Times New Roman" w:hAnsi="Times New Roman"/>
          <w:sz w:val="24"/>
          <w:szCs w:val="24"/>
        </w:rPr>
        <w:t>with the stress of academic life and complete their studies. Emerging evidence show</w:t>
      </w:r>
      <w:r w:rsidR="00070F14">
        <w:rPr>
          <w:rFonts w:ascii="Times New Roman" w:hAnsi="Times New Roman"/>
          <w:sz w:val="24"/>
          <w:szCs w:val="24"/>
        </w:rPr>
        <w:t>s</w:t>
      </w:r>
      <w:r>
        <w:rPr>
          <w:rFonts w:ascii="Times New Roman" w:hAnsi="Times New Roman"/>
          <w:sz w:val="24"/>
          <w:szCs w:val="24"/>
        </w:rPr>
        <w:t xml:space="preserve"> that more of these students fail their examinations and some drop out before they complete their </w:t>
      </w:r>
      <w:r>
        <w:rPr>
          <w:rFonts w:ascii="Times New Roman" w:hAnsi="Times New Roman"/>
          <w:sz w:val="24"/>
          <w:szCs w:val="24"/>
        </w:rPr>
        <w:lastRenderedPageBreak/>
        <w:t>courses or take longer to complete</w:t>
      </w:r>
      <w:r w:rsidR="00070F14">
        <w:rPr>
          <w:rFonts w:ascii="Times New Roman" w:hAnsi="Times New Roman"/>
          <w:sz w:val="24"/>
          <w:szCs w:val="24"/>
        </w:rPr>
        <w:t xml:space="preserve"> them</w:t>
      </w:r>
      <w:r>
        <w:rPr>
          <w:rFonts w:ascii="Times New Roman" w:hAnsi="Times New Roman"/>
          <w:sz w:val="24"/>
          <w:szCs w:val="24"/>
        </w:rPr>
        <w:t>. Data collected for this study in Kenyan public universities showed that Kenyan female students enjoy little support to complete their academic programmes. Female students from poor backgrounds in need of financial help drop out of university after being involved in relationships that end in motherhood. Many female students under such circumstances find it expensive and time–consuming minding their babies while attending classes. The introduction of cost-sharing has left young women from poor socio-economic backgrounds disadvantaged. In Kenya, the public universities have</w:t>
      </w:r>
      <w:r w:rsidR="00070F14">
        <w:rPr>
          <w:rFonts w:ascii="Times New Roman" w:hAnsi="Times New Roman"/>
          <w:sz w:val="24"/>
          <w:szCs w:val="24"/>
        </w:rPr>
        <w:t xml:space="preserve"> included </w:t>
      </w:r>
      <w:r>
        <w:rPr>
          <w:rFonts w:ascii="Times New Roman" w:hAnsi="Times New Roman"/>
          <w:sz w:val="24"/>
          <w:szCs w:val="24"/>
        </w:rPr>
        <w:t xml:space="preserve">in their strategic plans and mission statements </w:t>
      </w:r>
      <w:r w:rsidR="00070F14">
        <w:rPr>
          <w:rFonts w:ascii="Times New Roman" w:hAnsi="Times New Roman"/>
          <w:sz w:val="24"/>
          <w:szCs w:val="24"/>
        </w:rPr>
        <w:t xml:space="preserve">a </w:t>
      </w:r>
      <w:r>
        <w:rPr>
          <w:rFonts w:ascii="Times New Roman" w:hAnsi="Times New Roman"/>
          <w:sz w:val="24"/>
          <w:szCs w:val="24"/>
        </w:rPr>
        <w:t>reaffirmed commitment to improving student welfare services as a benchmark to improving the quality of the learning environment.</w:t>
      </w:r>
    </w:p>
    <w:p w:rsidR="00F67EDF" w:rsidRDefault="00F67EDF" w:rsidP="00F67EDF">
      <w:pPr>
        <w:spacing w:after="0" w:line="360" w:lineRule="auto"/>
        <w:contextualSpacing/>
        <w:jc w:val="both"/>
        <w:rPr>
          <w:rFonts w:ascii="Times New Roman" w:hAnsi="Times New Roman"/>
          <w:sz w:val="24"/>
          <w:szCs w:val="24"/>
        </w:rPr>
      </w:pPr>
    </w:p>
    <w:p w:rsidR="00F67EDF" w:rsidRDefault="00F405AD" w:rsidP="00F67EDF">
      <w:pPr>
        <w:spacing w:after="0" w:line="360" w:lineRule="auto"/>
        <w:contextualSpacing/>
        <w:jc w:val="both"/>
        <w:rPr>
          <w:rFonts w:ascii="Times New Roman" w:hAnsi="Times New Roman"/>
          <w:sz w:val="24"/>
          <w:szCs w:val="24"/>
          <w:lang w:val="en-US"/>
        </w:rPr>
      </w:pPr>
      <w:r>
        <w:rPr>
          <w:rFonts w:ascii="Times New Roman" w:hAnsi="Times New Roman"/>
          <w:sz w:val="24"/>
          <w:szCs w:val="24"/>
        </w:rPr>
        <w:t xml:space="preserve">      </w:t>
      </w:r>
      <w:r w:rsidR="00F67EDF">
        <w:rPr>
          <w:rFonts w:ascii="Times New Roman" w:hAnsi="Times New Roman"/>
          <w:sz w:val="24"/>
          <w:szCs w:val="24"/>
        </w:rPr>
        <w:t>One of the consequences of not coupling widening access policies with other support mechanisms is that implementation of the policies does not conclusively address gender inequality in terms of access and participation in higher education. Affirmative policies</w:t>
      </w:r>
      <w:r w:rsidR="00070F14">
        <w:rPr>
          <w:rFonts w:ascii="Times New Roman" w:hAnsi="Times New Roman"/>
          <w:sz w:val="24"/>
          <w:szCs w:val="24"/>
        </w:rPr>
        <w:t>,</w:t>
      </w:r>
      <w:r w:rsidR="00F67EDF">
        <w:rPr>
          <w:rFonts w:ascii="Times New Roman" w:hAnsi="Times New Roman"/>
          <w:sz w:val="24"/>
          <w:szCs w:val="24"/>
        </w:rPr>
        <w:t xml:space="preserve"> such as those implemented in Kenya do not critically consider the underlying constraints. Hence, rather than address inequities in access and participation in higher education, they introduce an alternative form of disparity. This creates new bottlenecks for the targeted students as regards to their participation and completion of academic programs. Thus, institutional interventions need to focus beyond numbers and target initiatives that not only increase female student participation, but also </w:t>
      </w:r>
      <w:r w:rsidR="00070F14">
        <w:rPr>
          <w:rFonts w:ascii="Times New Roman" w:hAnsi="Times New Roman"/>
          <w:sz w:val="24"/>
          <w:szCs w:val="24"/>
        </w:rPr>
        <w:t>enroll</w:t>
      </w:r>
      <w:r w:rsidR="00F67EDF">
        <w:rPr>
          <w:rFonts w:ascii="Times New Roman" w:hAnsi="Times New Roman"/>
          <w:sz w:val="24"/>
          <w:szCs w:val="24"/>
        </w:rPr>
        <w:t xml:space="preserve"> them into science, mathematics and technology academic programs. Some institutions have introduced some of these interventions but they need to complement them by other support services. For example, Nigeria allocates 60</w:t>
      </w:r>
      <w:r w:rsidR="00070F14">
        <w:rPr>
          <w:rFonts w:ascii="Times New Roman" w:hAnsi="Times New Roman"/>
          <w:sz w:val="24"/>
          <w:szCs w:val="24"/>
        </w:rPr>
        <w:t xml:space="preserve"> percent</w:t>
      </w:r>
      <w:r w:rsidR="00F67EDF">
        <w:rPr>
          <w:rFonts w:ascii="Times New Roman" w:hAnsi="Times New Roman"/>
          <w:sz w:val="24"/>
          <w:szCs w:val="24"/>
        </w:rPr>
        <w:t xml:space="preserve"> </w:t>
      </w:r>
      <w:r w:rsidR="00F67EDF" w:rsidRPr="00735064">
        <w:rPr>
          <w:rFonts w:ascii="Times New Roman" w:hAnsi="Times New Roman"/>
          <w:sz w:val="24"/>
          <w:szCs w:val="24"/>
          <w:lang w:val="en-US"/>
        </w:rPr>
        <w:t>of</w:t>
      </w:r>
      <w:r w:rsidR="00F67EDF">
        <w:rPr>
          <w:rFonts w:ascii="Times New Roman" w:hAnsi="Times New Roman"/>
          <w:sz w:val="24"/>
          <w:szCs w:val="24"/>
          <w:lang w:val="en-US"/>
        </w:rPr>
        <w:t xml:space="preserve"> admissions to higher education for Science, technology and mathematics disciplines</w:t>
      </w:r>
      <w:r w:rsidR="00F67EDF" w:rsidRPr="00735064">
        <w:rPr>
          <w:rFonts w:ascii="Times New Roman" w:hAnsi="Times New Roman"/>
          <w:sz w:val="24"/>
          <w:szCs w:val="24"/>
          <w:lang w:val="en-US"/>
        </w:rPr>
        <w:t xml:space="preserve"> (Morley et al., 2006</w:t>
      </w:r>
      <w:r w:rsidR="00070F14">
        <w:rPr>
          <w:rFonts w:ascii="Times New Roman" w:hAnsi="Times New Roman"/>
          <w:sz w:val="24"/>
          <w:szCs w:val="24"/>
          <w:lang w:val="en-US"/>
        </w:rPr>
        <w:t>:</w:t>
      </w:r>
      <w:r w:rsidR="00F67EDF" w:rsidRPr="00735064">
        <w:rPr>
          <w:rFonts w:ascii="Times New Roman" w:hAnsi="Times New Roman"/>
          <w:sz w:val="24"/>
          <w:szCs w:val="24"/>
          <w:lang w:val="en-US"/>
        </w:rPr>
        <w:t xml:space="preserve"> 82).</w:t>
      </w:r>
      <w:r w:rsidR="00F67EDF">
        <w:rPr>
          <w:rFonts w:ascii="Times New Roman" w:hAnsi="Times New Roman"/>
          <w:sz w:val="24"/>
          <w:szCs w:val="24"/>
          <w:lang w:val="en-US"/>
        </w:rPr>
        <w:t xml:space="preserve"> At Kenyatta University, a donor funded research project has been running in the last five years targe</w:t>
      </w:r>
      <w:r w:rsidR="00070F14">
        <w:rPr>
          <w:rFonts w:ascii="Times New Roman" w:hAnsi="Times New Roman"/>
          <w:sz w:val="24"/>
          <w:szCs w:val="24"/>
          <w:lang w:val="en-US"/>
        </w:rPr>
        <w:t>ted</w:t>
      </w:r>
      <w:r w:rsidR="00F67EDF">
        <w:rPr>
          <w:rFonts w:ascii="Times New Roman" w:hAnsi="Times New Roman"/>
          <w:sz w:val="24"/>
          <w:szCs w:val="24"/>
          <w:lang w:val="en-US"/>
        </w:rPr>
        <w:t xml:space="preserve"> </w:t>
      </w:r>
      <w:r w:rsidR="00070F14">
        <w:rPr>
          <w:rFonts w:ascii="Times New Roman" w:hAnsi="Times New Roman"/>
          <w:sz w:val="24"/>
          <w:szCs w:val="24"/>
          <w:lang w:val="en-US"/>
        </w:rPr>
        <w:t>at</w:t>
      </w:r>
      <w:r w:rsidR="005536CF">
        <w:rPr>
          <w:rFonts w:ascii="Times New Roman" w:hAnsi="Times New Roman"/>
          <w:sz w:val="24"/>
          <w:szCs w:val="24"/>
          <w:lang w:val="en-US"/>
        </w:rPr>
        <w:t xml:space="preserve"> enhancing </w:t>
      </w:r>
      <w:r w:rsidR="00F67EDF">
        <w:rPr>
          <w:rFonts w:ascii="Times New Roman" w:hAnsi="Times New Roman"/>
          <w:sz w:val="24"/>
          <w:szCs w:val="24"/>
          <w:lang w:val="en-US"/>
        </w:rPr>
        <w:t xml:space="preserve"> </w:t>
      </w:r>
      <w:r w:rsidR="00070F14">
        <w:rPr>
          <w:rFonts w:ascii="Times New Roman" w:hAnsi="Times New Roman"/>
          <w:sz w:val="24"/>
          <w:szCs w:val="24"/>
          <w:lang w:val="en-US"/>
        </w:rPr>
        <w:t>access for female</w:t>
      </w:r>
      <w:r w:rsidR="005536CF">
        <w:rPr>
          <w:rFonts w:ascii="Times New Roman" w:hAnsi="Times New Roman"/>
          <w:sz w:val="24"/>
          <w:szCs w:val="24"/>
          <w:lang w:val="en-US"/>
        </w:rPr>
        <w:t>s</w:t>
      </w:r>
      <w:r w:rsidR="00070F14">
        <w:rPr>
          <w:rFonts w:ascii="Times New Roman" w:hAnsi="Times New Roman"/>
          <w:sz w:val="24"/>
          <w:szCs w:val="24"/>
          <w:lang w:val="en-US"/>
        </w:rPr>
        <w:t xml:space="preserve"> </w:t>
      </w:r>
      <w:r w:rsidR="00F67EDF">
        <w:rPr>
          <w:rFonts w:ascii="Times New Roman" w:hAnsi="Times New Roman"/>
          <w:sz w:val="24"/>
          <w:szCs w:val="24"/>
          <w:lang w:val="en-US"/>
        </w:rPr>
        <w:t>in secondary schools to  science and mathematics</w:t>
      </w:r>
      <w:r w:rsidR="005536CF">
        <w:rPr>
          <w:rFonts w:ascii="Times New Roman" w:hAnsi="Times New Roman"/>
          <w:sz w:val="24"/>
          <w:szCs w:val="24"/>
          <w:lang w:val="en-US"/>
        </w:rPr>
        <w:t>-</w:t>
      </w:r>
      <w:r w:rsidR="00F67EDF">
        <w:rPr>
          <w:rFonts w:ascii="Times New Roman" w:hAnsi="Times New Roman"/>
          <w:sz w:val="24"/>
          <w:szCs w:val="24"/>
          <w:lang w:val="en-US"/>
        </w:rPr>
        <w:t xml:space="preserve"> based courses in the Universities. </w:t>
      </w:r>
    </w:p>
    <w:p w:rsidR="00F67EDF" w:rsidRDefault="00F67EDF" w:rsidP="00F67EDF">
      <w:pPr>
        <w:spacing w:after="0" w:line="360" w:lineRule="auto"/>
        <w:contextualSpacing/>
        <w:jc w:val="both"/>
        <w:rPr>
          <w:rFonts w:ascii="Times New Roman" w:hAnsi="Times New Roman"/>
          <w:sz w:val="24"/>
          <w:szCs w:val="24"/>
          <w:lang w:val="en-US"/>
        </w:rPr>
      </w:pPr>
    </w:p>
    <w:p w:rsidR="00E871D7" w:rsidRDefault="00F405AD" w:rsidP="00F67EDF">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Pr>
          <w:rFonts w:ascii="Times New Roman" w:hAnsi="Times New Roman"/>
          <w:sz w:val="24"/>
          <w:szCs w:val="24"/>
        </w:rPr>
        <w:t xml:space="preserve">In Kenya, current policies in the education sector tend to acknowledge the need for a broad based affirmative policy, linking admission of students to skills needed for socio-economic development. The 2005 session </w:t>
      </w:r>
      <w:r w:rsidR="00E871D7">
        <w:rPr>
          <w:rFonts w:ascii="Times New Roman" w:hAnsi="Times New Roman"/>
          <w:sz w:val="24"/>
          <w:szCs w:val="24"/>
        </w:rPr>
        <w:t>p</w:t>
      </w:r>
      <w:r w:rsidR="00F67EDF">
        <w:rPr>
          <w:rFonts w:ascii="Times New Roman" w:hAnsi="Times New Roman"/>
          <w:sz w:val="24"/>
          <w:szCs w:val="24"/>
        </w:rPr>
        <w:t>aper for the education sector</w:t>
      </w:r>
      <w:r w:rsidR="00F67EDF" w:rsidRPr="007E5B91">
        <w:rPr>
          <w:rFonts w:ascii="Times New Roman" w:hAnsi="Times New Roman"/>
          <w:sz w:val="24"/>
          <w:szCs w:val="24"/>
        </w:rPr>
        <w:t xml:space="preserve"> notes that there still exists inadequate capacity for access to universities, that there is a mismatch between skills t</w:t>
      </w:r>
      <w:r w:rsidR="00E871D7">
        <w:rPr>
          <w:rFonts w:ascii="Times New Roman" w:hAnsi="Times New Roman"/>
          <w:sz w:val="24"/>
          <w:szCs w:val="24"/>
        </w:rPr>
        <w:t>aught</w:t>
      </w:r>
      <w:r w:rsidR="00F67EDF" w:rsidRPr="007E5B91">
        <w:rPr>
          <w:rFonts w:ascii="Times New Roman" w:hAnsi="Times New Roman"/>
          <w:sz w:val="24"/>
          <w:szCs w:val="24"/>
        </w:rPr>
        <w:t xml:space="preserve"> at </w:t>
      </w:r>
      <w:r w:rsidR="00F67EDF" w:rsidRPr="007E5B91">
        <w:rPr>
          <w:rFonts w:ascii="Times New Roman" w:hAnsi="Times New Roman"/>
          <w:sz w:val="24"/>
          <w:szCs w:val="24"/>
        </w:rPr>
        <w:lastRenderedPageBreak/>
        <w:t>universities and demands of industry, a continuing imbal</w:t>
      </w:r>
      <w:r w:rsidR="00F67EDF">
        <w:rPr>
          <w:rFonts w:ascii="Times New Roman" w:hAnsi="Times New Roman"/>
          <w:sz w:val="24"/>
          <w:szCs w:val="24"/>
        </w:rPr>
        <w:t xml:space="preserve">ance between students studying </w:t>
      </w:r>
      <w:r w:rsidR="00E871D7">
        <w:rPr>
          <w:rFonts w:ascii="Times New Roman" w:hAnsi="Times New Roman"/>
          <w:sz w:val="24"/>
          <w:szCs w:val="24"/>
        </w:rPr>
        <w:t>s</w:t>
      </w:r>
      <w:r w:rsidR="00F67EDF" w:rsidRPr="007E5B91">
        <w:rPr>
          <w:rFonts w:ascii="Times New Roman" w:hAnsi="Times New Roman"/>
          <w:sz w:val="24"/>
          <w:szCs w:val="24"/>
        </w:rPr>
        <w:t xml:space="preserve">cience and </w:t>
      </w:r>
      <w:r w:rsidR="00E871D7">
        <w:rPr>
          <w:rFonts w:ascii="Times New Roman" w:hAnsi="Times New Roman"/>
          <w:sz w:val="24"/>
          <w:szCs w:val="24"/>
        </w:rPr>
        <w:t>a</w:t>
      </w:r>
      <w:r w:rsidR="00F67EDF" w:rsidRPr="007E5B91">
        <w:rPr>
          <w:rFonts w:ascii="Times New Roman" w:hAnsi="Times New Roman"/>
          <w:sz w:val="24"/>
          <w:szCs w:val="24"/>
        </w:rPr>
        <w:t>rts</w:t>
      </w:r>
      <w:r w:rsidR="00E871D7">
        <w:rPr>
          <w:rFonts w:ascii="Times New Roman" w:hAnsi="Times New Roman"/>
          <w:sz w:val="24"/>
          <w:szCs w:val="24"/>
        </w:rPr>
        <w:t>-</w:t>
      </w:r>
      <w:r w:rsidR="00F67EDF" w:rsidRPr="007E5B91">
        <w:rPr>
          <w:rFonts w:ascii="Times New Roman" w:hAnsi="Times New Roman"/>
          <w:sz w:val="24"/>
          <w:szCs w:val="24"/>
        </w:rPr>
        <w:t xml:space="preserve"> based courses, and persisting regional and gender disparities in access to the institutions (Republic of Kenya, 2005). The public universities have also reaffirmed a commitment to improving student welfare services as a benchmark to improving the quality of the learning environment</w:t>
      </w:r>
      <w:r w:rsidR="00E871D7">
        <w:rPr>
          <w:rFonts w:ascii="Times New Roman" w:hAnsi="Times New Roman"/>
          <w:sz w:val="24"/>
          <w:szCs w:val="24"/>
        </w:rPr>
        <w:t xml:space="preserve"> </w:t>
      </w:r>
      <w:r w:rsidR="00E871D7" w:rsidRPr="007E5B91">
        <w:rPr>
          <w:rFonts w:ascii="Times New Roman" w:hAnsi="Times New Roman"/>
          <w:sz w:val="24"/>
          <w:szCs w:val="24"/>
        </w:rPr>
        <w:t>in their strategic plans and mission statements</w:t>
      </w:r>
      <w:r w:rsidR="00F67EDF" w:rsidRPr="007E5B91">
        <w:rPr>
          <w:rFonts w:ascii="Times New Roman" w:hAnsi="Times New Roman"/>
          <w:sz w:val="24"/>
          <w:szCs w:val="24"/>
        </w:rPr>
        <w:t>. Kenyatta University has</w:t>
      </w:r>
      <w:r w:rsidR="00E871D7">
        <w:rPr>
          <w:rFonts w:ascii="Times New Roman" w:hAnsi="Times New Roman"/>
          <w:sz w:val="24"/>
          <w:szCs w:val="24"/>
        </w:rPr>
        <w:t>,</w:t>
      </w:r>
      <w:r w:rsidR="00F67EDF" w:rsidRPr="007E5B91">
        <w:rPr>
          <w:rFonts w:ascii="Times New Roman" w:hAnsi="Times New Roman"/>
          <w:sz w:val="24"/>
          <w:szCs w:val="24"/>
        </w:rPr>
        <w:t xml:space="preserve"> for instance</w:t>
      </w:r>
      <w:r w:rsidR="00E871D7">
        <w:rPr>
          <w:rFonts w:ascii="Times New Roman" w:hAnsi="Times New Roman"/>
          <w:sz w:val="24"/>
          <w:szCs w:val="24"/>
        </w:rPr>
        <w:t>,</w:t>
      </w:r>
      <w:r w:rsidR="00F67EDF" w:rsidRPr="007E5B91">
        <w:rPr>
          <w:rFonts w:ascii="Times New Roman" w:hAnsi="Times New Roman"/>
          <w:sz w:val="24"/>
          <w:szCs w:val="24"/>
        </w:rPr>
        <w:t xml:space="preserve"> emphasized </w:t>
      </w:r>
      <w:r w:rsidR="00F67EDF">
        <w:rPr>
          <w:rFonts w:ascii="Times New Roman" w:hAnsi="Times New Roman"/>
          <w:sz w:val="24"/>
          <w:szCs w:val="24"/>
        </w:rPr>
        <w:t>that student welfare services play critical part in ensuring student completion rates</w:t>
      </w:r>
      <w:r w:rsidR="00F67EDF" w:rsidRPr="007E5B91">
        <w:rPr>
          <w:rFonts w:ascii="Times New Roman" w:hAnsi="Times New Roman"/>
          <w:sz w:val="24"/>
          <w:szCs w:val="24"/>
        </w:rPr>
        <w:t xml:space="preserve"> and strengthen</w:t>
      </w:r>
      <w:r w:rsidR="00E871D7">
        <w:rPr>
          <w:rFonts w:ascii="Times New Roman" w:hAnsi="Times New Roman"/>
          <w:sz w:val="24"/>
          <w:szCs w:val="24"/>
        </w:rPr>
        <w:t>s</w:t>
      </w:r>
      <w:r w:rsidR="00F67EDF" w:rsidRPr="007E5B91">
        <w:rPr>
          <w:rFonts w:ascii="Times New Roman" w:hAnsi="Times New Roman"/>
          <w:sz w:val="24"/>
          <w:szCs w:val="24"/>
        </w:rPr>
        <w:t xml:space="preserve"> the quality of counselling and pastoral care</w:t>
      </w:r>
      <w:r w:rsidR="00F67EDF">
        <w:rPr>
          <w:rFonts w:ascii="Times New Roman" w:hAnsi="Times New Roman"/>
          <w:sz w:val="24"/>
          <w:szCs w:val="24"/>
        </w:rPr>
        <w:t xml:space="preserve"> </w:t>
      </w:r>
      <w:r w:rsidR="00F67EDF" w:rsidRPr="007E5B91">
        <w:rPr>
          <w:rFonts w:ascii="Times New Roman" w:hAnsi="Times New Roman"/>
          <w:sz w:val="24"/>
          <w:szCs w:val="24"/>
        </w:rPr>
        <w:t>(Kenyatta University, 2005:56)</w:t>
      </w:r>
      <w:r w:rsidR="00F67EDF">
        <w:rPr>
          <w:rFonts w:ascii="Times New Roman" w:hAnsi="Times New Roman"/>
          <w:sz w:val="24"/>
          <w:szCs w:val="24"/>
        </w:rPr>
        <w:t xml:space="preserve">. The Nigerian Federal Ministry of Education has reaffirmed commitments to eliminate or reduce disparities in gender participation in tertiary education (FME, 2009). In this regard, one of the turnaround strategies to be adopted by the Nigerian government is to “ensure continuous gender-focused education programmes by considering policies such as quota- based admission, fees reduction, scholarships and other incentives based on gender” (FME, 2009:58). </w:t>
      </w:r>
    </w:p>
    <w:p w:rsidR="00E871D7" w:rsidRDefault="00E871D7" w:rsidP="00F67EDF">
      <w:pPr>
        <w:spacing w:line="360" w:lineRule="auto"/>
        <w:contextualSpacing/>
        <w:jc w:val="both"/>
        <w:rPr>
          <w:rFonts w:ascii="Times New Roman" w:hAnsi="Times New Roman"/>
          <w:sz w:val="24"/>
          <w:szCs w:val="24"/>
        </w:rPr>
      </w:pPr>
    </w:p>
    <w:p w:rsidR="00F67EDF" w:rsidRPr="005E4167" w:rsidRDefault="00F405AD" w:rsidP="00F67EDF">
      <w:pPr>
        <w:spacing w:line="360" w:lineRule="auto"/>
        <w:contextualSpacing/>
        <w:jc w:val="both"/>
        <w:rPr>
          <w:rFonts w:ascii="Times New Roman" w:hAnsi="Times New Roman"/>
          <w:sz w:val="24"/>
          <w:szCs w:val="24"/>
        </w:rPr>
      </w:pPr>
      <w:r>
        <w:rPr>
          <w:rFonts w:ascii="Times New Roman" w:hAnsi="Times New Roman"/>
          <w:bCs/>
          <w:sz w:val="24"/>
          <w:szCs w:val="24"/>
        </w:rPr>
        <w:t xml:space="preserve">      </w:t>
      </w:r>
      <w:r w:rsidR="00F67EDF">
        <w:rPr>
          <w:rFonts w:ascii="Times New Roman" w:hAnsi="Times New Roman"/>
          <w:bCs/>
          <w:sz w:val="24"/>
          <w:szCs w:val="24"/>
        </w:rPr>
        <w:t>In the public universities in Kenya and Nigeria, some level of institutionalization of</w:t>
      </w:r>
      <w:r w:rsidR="00F67EDF" w:rsidRPr="0047783F">
        <w:rPr>
          <w:rFonts w:ascii="Times New Roman" w:hAnsi="Times New Roman"/>
          <w:sz w:val="24"/>
          <w:szCs w:val="24"/>
        </w:rPr>
        <w:t xml:space="preserve"> academic and social mentorship programs for students</w:t>
      </w:r>
      <w:r w:rsidR="00F67EDF">
        <w:rPr>
          <w:rFonts w:ascii="Times New Roman" w:hAnsi="Times New Roman"/>
          <w:sz w:val="24"/>
          <w:szCs w:val="24"/>
        </w:rPr>
        <w:t xml:space="preserve"> is taking place. The public universities also have</w:t>
      </w:r>
      <w:r w:rsidR="00F67EDF" w:rsidRPr="00584BFA">
        <w:rPr>
          <w:rFonts w:ascii="Times New Roman" w:hAnsi="Times New Roman"/>
          <w:sz w:val="24"/>
          <w:szCs w:val="24"/>
        </w:rPr>
        <w:t xml:space="preserve"> the traditional guid</w:t>
      </w:r>
      <w:r w:rsidR="00F67EDF">
        <w:rPr>
          <w:rFonts w:ascii="Times New Roman" w:hAnsi="Times New Roman"/>
          <w:sz w:val="24"/>
          <w:szCs w:val="24"/>
        </w:rPr>
        <w:t>ance and counse</w:t>
      </w:r>
      <w:r w:rsidR="00E871D7">
        <w:rPr>
          <w:rFonts w:ascii="Times New Roman" w:hAnsi="Times New Roman"/>
          <w:sz w:val="24"/>
          <w:szCs w:val="24"/>
        </w:rPr>
        <w:t>l</w:t>
      </w:r>
      <w:r w:rsidR="00F67EDF">
        <w:rPr>
          <w:rFonts w:ascii="Times New Roman" w:hAnsi="Times New Roman"/>
          <w:sz w:val="24"/>
          <w:szCs w:val="24"/>
        </w:rPr>
        <w:t>ing units</w:t>
      </w:r>
      <w:r w:rsidR="00DD1129">
        <w:rPr>
          <w:rFonts w:ascii="Times New Roman" w:hAnsi="Times New Roman"/>
          <w:sz w:val="24"/>
          <w:szCs w:val="24"/>
        </w:rPr>
        <w:t>,</w:t>
      </w:r>
      <w:r w:rsidR="00F67EDF">
        <w:rPr>
          <w:rFonts w:ascii="Times New Roman" w:hAnsi="Times New Roman"/>
          <w:sz w:val="24"/>
          <w:szCs w:val="24"/>
        </w:rPr>
        <w:t xml:space="preserve"> but student numbers have overstretched the services, and do not focus on gender specific concerns. </w:t>
      </w:r>
      <w:r w:rsidR="00F67EDF" w:rsidRPr="00584BFA">
        <w:rPr>
          <w:rFonts w:ascii="Times New Roman" w:hAnsi="Times New Roman"/>
          <w:sz w:val="24"/>
          <w:szCs w:val="24"/>
        </w:rPr>
        <w:t>Since universities do not profile students and lectures, it is difficult to develop services geared towards individual student needs.</w:t>
      </w:r>
      <w:r w:rsidR="00F67EDF">
        <w:rPr>
          <w:rFonts w:ascii="Times New Roman" w:hAnsi="Times New Roman"/>
          <w:sz w:val="24"/>
          <w:szCs w:val="24"/>
        </w:rPr>
        <w:t xml:space="preserve"> Besides, the </w:t>
      </w:r>
      <w:r w:rsidR="00F67EDF">
        <w:rPr>
          <w:rFonts w:ascii="Times New Roman" w:hAnsi="Times New Roman"/>
          <w:bCs/>
          <w:sz w:val="24"/>
          <w:szCs w:val="24"/>
        </w:rPr>
        <w:t>guidance</w:t>
      </w:r>
      <w:r w:rsidR="00F67EDF" w:rsidRPr="00584BFA">
        <w:rPr>
          <w:rFonts w:ascii="Times New Roman" w:hAnsi="Times New Roman"/>
          <w:sz w:val="24"/>
          <w:szCs w:val="24"/>
        </w:rPr>
        <w:t xml:space="preserve"> and counseling services do not have an academic component but </w:t>
      </w:r>
      <w:r w:rsidR="00F67EDF">
        <w:rPr>
          <w:rFonts w:ascii="Times New Roman" w:hAnsi="Times New Roman"/>
          <w:sz w:val="24"/>
          <w:szCs w:val="24"/>
        </w:rPr>
        <w:t>gear more to addressing disciplinary</w:t>
      </w:r>
      <w:r w:rsidR="00F67EDF" w:rsidRPr="00584BFA">
        <w:rPr>
          <w:rFonts w:ascii="Times New Roman" w:hAnsi="Times New Roman"/>
          <w:sz w:val="24"/>
          <w:szCs w:val="24"/>
        </w:rPr>
        <w:t xml:space="preserve"> problems among students.</w:t>
      </w:r>
      <w:r w:rsidR="00F67EDF">
        <w:rPr>
          <w:rFonts w:ascii="Times New Roman" w:hAnsi="Times New Roman"/>
          <w:sz w:val="24"/>
          <w:szCs w:val="24"/>
        </w:rPr>
        <w:t xml:space="preserve"> It is imperative institutions adopt holistic approaches when designing interventions to increase female access to higher education. This will require that higher education institutions forge linkages with secondary schools, develop programs for enhancing girls’ participation in science and mathematics and enhance mentoring and academic advising to increase the rates of female participation and completion</w:t>
      </w:r>
      <w:r w:rsidR="00DD1129">
        <w:rPr>
          <w:rFonts w:ascii="Times New Roman" w:hAnsi="Times New Roman"/>
          <w:sz w:val="24"/>
          <w:szCs w:val="24"/>
        </w:rPr>
        <w:t>,</w:t>
      </w:r>
      <w:r w:rsidR="00F67EDF">
        <w:rPr>
          <w:rFonts w:ascii="Times New Roman" w:hAnsi="Times New Roman"/>
          <w:sz w:val="24"/>
          <w:szCs w:val="24"/>
        </w:rPr>
        <w:t xml:space="preserve"> especially in science and mathematics based programmes.</w:t>
      </w:r>
    </w:p>
    <w:p w:rsidR="00F67EDF" w:rsidRDefault="00F67EDF" w:rsidP="00F67EDF">
      <w:pPr>
        <w:spacing w:line="360" w:lineRule="auto"/>
        <w:contextualSpacing/>
        <w:jc w:val="both"/>
        <w:rPr>
          <w:rFonts w:ascii="Times New Roman" w:hAnsi="Times New Roman"/>
          <w:sz w:val="24"/>
          <w:szCs w:val="24"/>
        </w:rPr>
      </w:pPr>
    </w:p>
    <w:p w:rsidR="00F67EDF" w:rsidRPr="00366E19" w:rsidRDefault="00352FBA" w:rsidP="00F67EDF">
      <w:pPr>
        <w:spacing w:after="0" w:line="360" w:lineRule="auto"/>
        <w:contextualSpacing/>
        <w:jc w:val="both"/>
        <w:rPr>
          <w:rFonts w:ascii="Times New Roman" w:hAnsi="Times New Roman"/>
          <w:sz w:val="24"/>
          <w:szCs w:val="24"/>
        </w:rPr>
      </w:pPr>
      <w:r>
        <w:rPr>
          <w:rFonts w:ascii="Times New Roman" w:hAnsi="Times New Roman"/>
          <w:sz w:val="24"/>
          <w:szCs w:val="24"/>
        </w:rPr>
        <w:t xml:space="preserve">      </w:t>
      </w:r>
      <w:r w:rsidR="00F67EDF">
        <w:rPr>
          <w:rFonts w:ascii="Times New Roman" w:hAnsi="Times New Roman"/>
          <w:sz w:val="24"/>
          <w:szCs w:val="24"/>
        </w:rPr>
        <w:t>In the long-term</w:t>
      </w:r>
      <w:r w:rsidR="00DD1129">
        <w:rPr>
          <w:rFonts w:ascii="Times New Roman" w:hAnsi="Times New Roman"/>
          <w:sz w:val="24"/>
          <w:szCs w:val="24"/>
        </w:rPr>
        <w:t>,</w:t>
      </w:r>
      <w:r w:rsidR="00F67EDF">
        <w:rPr>
          <w:rFonts w:ascii="Times New Roman" w:hAnsi="Times New Roman"/>
          <w:sz w:val="24"/>
          <w:szCs w:val="24"/>
        </w:rPr>
        <w:t xml:space="preserve"> universities need</w:t>
      </w:r>
      <w:r w:rsidR="00F67EDF" w:rsidRPr="00366E19">
        <w:rPr>
          <w:rFonts w:ascii="Times New Roman" w:hAnsi="Times New Roman"/>
          <w:sz w:val="24"/>
          <w:szCs w:val="24"/>
        </w:rPr>
        <w:t xml:space="preserve"> </w:t>
      </w:r>
      <w:r w:rsidR="00F67EDF">
        <w:rPr>
          <w:rFonts w:ascii="Times New Roman" w:hAnsi="Times New Roman"/>
          <w:sz w:val="24"/>
          <w:szCs w:val="24"/>
        </w:rPr>
        <w:t>to establish linkages with</w:t>
      </w:r>
      <w:r w:rsidR="00F67EDF" w:rsidRPr="00366E19">
        <w:rPr>
          <w:rFonts w:ascii="Times New Roman" w:hAnsi="Times New Roman"/>
          <w:sz w:val="24"/>
          <w:szCs w:val="24"/>
        </w:rPr>
        <w:t xml:space="preserve"> secondary schools</w:t>
      </w:r>
      <w:r w:rsidR="00F67EDF">
        <w:rPr>
          <w:rFonts w:ascii="Times New Roman" w:hAnsi="Times New Roman"/>
          <w:sz w:val="24"/>
          <w:szCs w:val="24"/>
        </w:rPr>
        <w:t>, especially those for female students</w:t>
      </w:r>
      <w:r w:rsidR="00DD1129">
        <w:rPr>
          <w:rFonts w:ascii="Times New Roman" w:hAnsi="Times New Roman"/>
          <w:sz w:val="24"/>
          <w:szCs w:val="24"/>
        </w:rPr>
        <w:t>,</w:t>
      </w:r>
      <w:r w:rsidR="00F67EDF" w:rsidRPr="00366E19">
        <w:rPr>
          <w:rFonts w:ascii="Times New Roman" w:hAnsi="Times New Roman"/>
          <w:sz w:val="24"/>
          <w:szCs w:val="24"/>
        </w:rPr>
        <w:t xml:space="preserve"> </w:t>
      </w:r>
      <w:r w:rsidR="00F67EDF">
        <w:rPr>
          <w:rFonts w:ascii="Times New Roman" w:hAnsi="Times New Roman"/>
          <w:sz w:val="24"/>
          <w:szCs w:val="24"/>
        </w:rPr>
        <w:t xml:space="preserve">as a strategy </w:t>
      </w:r>
      <w:r w:rsidR="00F67EDF" w:rsidRPr="00366E19">
        <w:rPr>
          <w:rFonts w:ascii="Times New Roman" w:hAnsi="Times New Roman"/>
          <w:sz w:val="24"/>
          <w:szCs w:val="24"/>
        </w:rPr>
        <w:t>to strengthen the teaching of mathematics and sciences</w:t>
      </w:r>
      <w:r w:rsidR="00F67EDF">
        <w:rPr>
          <w:rFonts w:ascii="Times New Roman" w:hAnsi="Times New Roman"/>
          <w:sz w:val="24"/>
          <w:szCs w:val="24"/>
        </w:rPr>
        <w:t>. As a short-term measure, u</w:t>
      </w:r>
      <w:r w:rsidR="00F67EDF" w:rsidRPr="00366E19">
        <w:rPr>
          <w:rFonts w:ascii="Times New Roman" w:hAnsi="Times New Roman"/>
          <w:sz w:val="24"/>
          <w:szCs w:val="24"/>
        </w:rPr>
        <w:t xml:space="preserve">niversities can replicate the interventions of the University of Dar es </w:t>
      </w:r>
      <w:r w:rsidR="00F67EDF" w:rsidRPr="00366E19">
        <w:rPr>
          <w:rFonts w:ascii="Times New Roman" w:hAnsi="Times New Roman"/>
          <w:sz w:val="24"/>
          <w:szCs w:val="24"/>
        </w:rPr>
        <w:lastRenderedPageBreak/>
        <w:t>Salaam that have increased female access into the university and entry into science and technology</w:t>
      </w:r>
      <w:r w:rsidR="00DD1129">
        <w:rPr>
          <w:rFonts w:ascii="Times New Roman" w:hAnsi="Times New Roman"/>
          <w:sz w:val="24"/>
          <w:szCs w:val="24"/>
        </w:rPr>
        <w:t>-</w:t>
      </w:r>
      <w:r w:rsidR="00F67EDF" w:rsidRPr="00366E19">
        <w:rPr>
          <w:rFonts w:ascii="Times New Roman" w:hAnsi="Times New Roman"/>
          <w:sz w:val="24"/>
          <w:szCs w:val="24"/>
        </w:rPr>
        <w:t xml:space="preserve">based courses. </w:t>
      </w:r>
      <w:r w:rsidR="00F67EDF">
        <w:rPr>
          <w:rFonts w:ascii="Times New Roman" w:hAnsi="Times New Roman"/>
          <w:sz w:val="24"/>
          <w:szCs w:val="24"/>
        </w:rPr>
        <w:t xml:space="preserve">The </w:t>
      </w:r>
      <w:r w:rsidR="00DD1129">
        <w:rPr>
          <w:rFonts w:ascii="Times New Roman" w:hAnsi="Times New Roman"/>
          <w:sz w:val="24"/>
          <w:szCs w:val="24"/>
        </w:rPr>
        <w:t>U</w:t>
      </w:r>
      <w:r w:rsidR="00F67EDF">
        <w:rPr>
          <w:rFonts w:ascii="Times New Roman" w:hAnsi="Times New Roman"/>
          <w:sz w:val="24"/>
          <w:szCs w:val="24"/>
        </w:rPr>
        <w:t xml:space="preserve">niversity </w:t>
      </w:r>
      <w:r w:rsidR="00DD1129">
        <w:rPr>
          <w:rFonts w:ascii="Times New Roman" w:hAnsi="Times New Roman"/>
          <w:sz w:val="24"/>
          <w:szCs w:val="24"/>
        </w:rPr>
        <w:t xml:space="preserve">has </w:t>
      </w:r>
      <w:r w:rsidR="00F67EDF">
        <w:rPr>
          <w:rFonts w:ascii="Times New Roman" w:hAnsi="Times New Roman"/>
          <w:sz w:val="24"/>
          <w:szCs w:val="24"/>
        </w:rPr>
        <w:t>operate</w:t>
      </w:r>
      <w:r w:rsidR="00DD1129">
        <w:rPr>
          <w:rFonts w:ascii="Times New Roman" w:hAnsi="Times New Roman"/>
          <w:sz w:val="24"/>
          <w:szCs w:val="24"/>
        </w:rPr>
        <w:t>d</w:t>
      </w:r>
      <w:r w:rsidR="00F67EDF">
        <w:rPr>
          <w:rFonts w:ascii="Times New Roman" w:hAnsi="Times New Roman"/>
          <w:sz w:val="24"/>
          <w:szCs w:val="24"/>
        </w:rPr>
        <w:t xml:space="preserve"> a</w:t>
      </w:r>
      <w:r w:rsidR="00F67EDF" w:rsidRPr="00366E19">
        <w:rPr>
          <w:rFonts w:ascii="Times New Roman" w:hAnsi="Times New Roman"/>
          <w:sz w:val="24"/>
          <w:szCs w:val="24"/>
        </w:rPr>
        <w:t xml:space="preserve"> Pre-entry Programme (PEP) in science and mathematics for female </w:t>
      </w:r>
      <w:r w:rsidR="00F67EDF">
        <w:rPr>
          <w:rFonts w:ascii="Times New Roman" w:hAnsi="Times New Roman"/>
          <w:sz w:val="24"/>
          <w:szCs w:val="24"/>
        </w:rPr>
        <w:t>students since</w:t>
      </w:r>
      <w:r w:rsidR="00F67EDF" w:rsidRPr="00366E19">
        <w:rPr>
          <w:rFonts w:ascii="Times New Roman" w:hAnsi="Times New Roman"/>
          <w:sz w:val="24"/>
          <w:szCs w:val="24"/>
        </w:rPr>
        <w:t xml:space="preserve"> 1997, first as a pilot scheme under a Teacher Education Assistance in Mathematics and Science (TEAMS) project managed collaboratively by the Faculty of Education and the Faculty of Science. The emphasis of the program is to </w:t>
      </w:r>
      <w:r w:rsidR="00DD1129">
        <w:rPr>
          <w:rFonts w:ascii="Times New Roman" w:hAnsi="Times New Roman"/>
          <w:sz w:val="24"/>
          <w:szCs w:val="24"/>
        </w:rPr>
        <w:t>provide</w:t>
      </w:r>
      <w:r w:rsidR="00F67EDF" w:rsidRPr="00366E19">
        <w:rPr>
          <w:rFonts w:ascii="Times New Roman" w:hAnsi="Times New Roman"/>
          <w:sz w:val="24"/>
          <w:szCs w:val="24"/>
        </w:rPr>
        <w:t xml:space="preserve"> bridging courses for female students who do not qualify </w:t>
      </w:r>
      <w:r w:rsidR="00F67EDF">
        <w:rPr>
          <w:rFonts w:ascii="Times New Roman" w:hAnsi="Times New Roman"/>
          <w:sz w:val="24"/>
          <w:szCs w:val="24"/>
        </w:rPr>
        <w:t>to enter university</w:t>
      </w:r>
      <w:r w:rsidR="00F67EDF" w:rsidRPr="00366E19">
        <w:rPr>
          <w:rFonts w:ascii="Times New Roman" w:hAnsi="Times New Roman"/>
          <w:sz w:val="24"/>
          <w:szCs w:val="24"/>
        </w:rPr>
        <w:t xml:space="preserve">, to enable them qualify and join science and mathematics oriented courses. The </w:t>
      </w:r>
      <w:r w:rsidR="00DD1129">
        <w:rPr>
          <w:rFonts w:ascii="Times New Roman" w:hAnsi="Times New Roman"/>
          <w:sz w:val="24"/>
          <w:szCs w:val="24"/>
        </w:rPr>
        <w:t>M</w:t>
      </w:r>
      <w:r w:rsidR="00F67EDF" w:rsidRPr="00366E19">
        <w:rPr>
          <w:rFonts w:ascii="Times New Roman" w:hAnsi="Times New Roman"/>
          <w:sz w:val="24"/>
          <w:szCs w:val="24"/>
        </w:rPr>
        <w:t xml:space="preserve">inistry of </w:t>
      </w:r>
      <w:r w:rsidR="00DD1129">
        <w:rPr>
          <w:rFonts w:ascii="Times New Roman" w:hAnsi="Times New Roman"/>
          <w:sz w:val="24"/>
          <w:szCs w:val="24"/>
        </w:rPr>
        <w:t>E</w:t>
      </w:r>
      <w:r w:rsidR="00F67EDF" w:rsidRPr="00366E19">
        <w:rPr>
          <w:rFonts w:ascii="Times New Roman" w:hAnsi="Times New Roman"/>
          <w:sz w:val="24"/>
          <w:szCs w:val="24"/>
        </w:rPr>
        <w:t xml:space="preserve">ducation and the </w:t>
      </w:r>
      <w:r w:rsidR="00DD1129">
        <w:rPr>
          <w:rFonts w:ascii="Times New Roman" w:hAnsi="Times New Roman"/>
          <w:sz w:val="24"/>
          <w:szCs w:val="24"/>
        </w:rPr>
        <w:t>U</w:t>
      </w:r>
      <w:r w:rsidR="00F67EDF">
        <w:rPr>
          <w:rFonts w:ascii="Times New Roman" w:hAnsi="Times New Roman"/>
          <w:sz w:val="24"/>
          <w:szCs w:val="24"/>
        </w:rPr>
        <w:t>niversity ha</w:t>
      </w:r>
      <w:r w:rsidR="00DD1129">
        <w:rPr>
          <w:rFonts w:ascii="Times New Roman" w:hAnsi="Times New Roman"/>
          <w:sz w:val="24"/>
          <w:szCs w:val="24"/>
        </w:rPr>
        <w:t>ve</w:t>
      </w:r>
      <w:r w:rsidR="00F67EDF">
        <w:rPr>
          <w:rFonts w:ascii="Times New Roman" w:hAnsi="Times New Roman"/>
          <w:sz w:val="24"/>
          <w:szCs w:val="24"/>
        </w:rPr>
        <w:t xml:space="preserve"> created a dedicated budget </w:t>
      </w:r>
      <w:r w:rsidR="00F67EDF" w:rsidRPr="00366E19">
        <w:rPr>
          <w:rFonts w:ascii="Times New Roman" w:hAnsi="Times New Roman"/>
          <w:sz w:val="24"/>
          <w:szCs w:val="24"/>
        </w:rPr>
        <w:t>to ensure long-term sustainability of the program.</w:t>
      </w:r>
      <w:r w:rsidR="00F67EDF">
        <w:rPr>
          <w:rFonts w:ascii="Times New Roman" w:hAnsi="Times New Roman"/>
          <w:sz w:val="24"/>
          <w:szCs w:val="24"/>
        </w:rPr>
        <w:t xml:space="preserve"> The program is sustained through</w:t>
      </w:r>
      <w:r w:rsidR="00F67EDF" w:rsidRPr="00366E19">
        <w:rPr>
          <w:rFonts w:ascii="Times New Roman" w:hAnsi="Times New Roman"/>
          <w:sz w:val="24"/>
          <w:szCs w:val="24"/>
        </w:rPr>
        <w:t xml:space="preserve"> advocacy for third-party sponsorship by local and external organizations. In this regard, positive response has been received from Sida/SAREC (Sweden), NORAD (Norway) and Carnegie Corporation of New York (USA). Since 2001</w:t>
      </w:r>
      <w:r w:rsidR="00DD1129">
        <w:rPr>
          <w:rFonts w:ascii="Times New Roman" w:hAnsi="Times New Roman"/>
          <w:sz w:val="24"/>
          <w:szCs w:val="24"/>
        </w:rPr>
        <w:t>-</w:t>
      </w:r>
      <w:r w:rsidR="00F67EDF" w:rsidRPr="00366E19">
        <w:rPr>
          <w:rFonts w:ascii="Times New Roman" w:hAnsi="Times New Roman"/>
          <w:sz w:val="24"/>
          <w:szCs w:val="24"/>
        </w:rPr>
        <w:t xml:space="preserve">02, the annual female student intake has been boosted by guaranteed sponsorship </w:t>
      </w:r>
      <w:r w:rsidR="00F67EDF">
        <w:rPr>
          <w:rFonts w:ascii="Times New Roman" w:hAnsi="Times New Roman"/>
          <w:sz w:val="24"/>
          <w:szCs w:val="24"/>
        </w:rPr>
        <w:t xml:space="preserve">to </w:t>
      </w:r>
      <w:r w:rsidR="00F67EDF" w:rsidRPr="00366E19">
        <w:rPr>
          <w:rFonts w:ascii="Times New Roman" w:hAnsi="Times New Roman"/>
          <w:sz w:val="24"/>
          <w:szCs w:val="24"/>
        </w:rPr>
        <w:t>50 eligible female applicants by the University’s Female Undergraduate Scholarship Programme (FUSP) created in partnership with the Carnegie Corporation, guaranteed for a period of nine years to 2009/10</w:t>
      </w:r>
      <w:r w:rsidR="00F67EDF">
        <w:rPr>
          <w:rFonts w:ascii="Times New Roman" w:hAnsi="Times New Roman"/>
          <w:sz w:val="24"/>
          <w:szCs w:val="24"/>
        </w:rPr>
        <w:t xml:space="preserve"> (Luhanga and Mashalla, 2005).</w:t>
      </w:r>
    </w:p>
    <w:p w:rsidR="00F67EDF" w:rsidRDefault="00F67EDF" w:rsidP="00F67EDF">
      <w:pPr>
        <w:pStyle w:val="HTMLPreformatted"/>
        <w:widowControl/>
        <w:spacing w:line="360" w:lineRule="auto"/>
        <w:jc w:val="both"/>
        <w:rPr>
          <w:rFonts w:ascii="Times New Roman" w:eastAsia="Calibri" w:hAnsi="Times New Roman"/>
          <w:color w:val="auto"/>
          <w:sz w:val="24"/>
          <w:szCs w:val="24"/>
          <w:lang w:eastAsia="en-US"/>
        </w:rPr>
      </w:pPr>
    </w:p>
    <w:p w:rsidR="00F67EDF" w:rsidRDefault="00352FBA" w:rsidP="00F67EDF">
      <w:pPr>
        <w:pStyle w:val="HTMLPreformatted"/>
        <w:widowControl/>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3915A9">
        <w:rPr>
          <w:rFonts w:ascii="Times New Roman" w:hAnsi="Times New Roman"/>
          <w:sz w:val="24"/>
          <w:szCs w:val="24"/>
          <w:lang w:val="en-US"/>
        </w:rPr>
        <w:t>Nevertheless, i</w:t>
      </w:r>
      <w:r w:rsidR="00F67EDF">
        <w:rPr>
          <w:rFonts w:ascii="Times New Roman" w:hAnsi="Times New Roman"/>
          <w:sz w:val="24"/>
          <w:szCs w:val="24"/>
          <w:lang w:val="en-US"/>
        </w:rPr>
        <w:t xml:space="preserve">nterventions to increase access and participation </w:t>
      </w:r>
      <w:r w:rsidR="003915A9">
        <w:rPr>
          <w:rFonts w:ascii="Times New Roman" w:hAnsi="Times New Roman"/>
          <w:sz w:val="24"/>
          <w:szCs w:val="24"/>
          <w:lang w:val="en-US"/>
        </w:rPr>
        <w:t xml:space="preserve">must </w:t>
      </w:r>
      <w:r w:rsidR="00F67EDF">
        <w:rPr>
          <w:rFonts w:ascii="Times New Roman" w:hAnsi="Times New Roman"/>
          <w:sz w:val="24"/>
          <w:szCs w:val="24"/>
          <w:lang w:val="en-US"/>
        </w:rPr>
        <w:t>be accompanied by other welfare support services for female students to ensure their persistence and completion. Since poverty and other socio-economic factors determine female participation in higher education, increased access and finance aid policies should complement each other. Institutions such as Kenyatta University have a student aid office, that assist</w:t>
      </w:r>
      <w:r w:rsidR="003915A9">
        <w:rPr>
          <w:rFonts w:ascii="Times New Roman" w:hAnsi="Times New Roman"/>
          <w:sz w:val="24"/>
          <w:szCs w:val="24"/>
          <w:lang w:val="en-US"/>
        </w:rPr>
        <w:t>s</w:t>
      </w:r>
      <w:r w:rsidR="00F67EDF">
        <w:rPr>
          <w:rFonts w:ascii="Times New Roman" w:hAnsi="Times New Roman"/>
          <w:sz w:val="24"/>
          <w:szCs w:val="24"/>
          <w:lang w:val="en-US"/>
        </w:rPr>
        <w:t xml:space="preserve"> students from less privileged backgrounds to get through college. However, identifying needy students readily is hindered by the fact that most higher education institutions in Africa do not have in place policies profiling students in terms of socio-economic background. Again, the fact that government budgets for higher education </w:t>
      </w:r>
      <w:r w:rsidR="003915A9">
        <w:rPr>
          <w:rFonts w:ascii="Times New Roman" w:hAnsi="Times New Roman"/>
          <w:sz w:val="24"/>
          <w:szCs w:val="24"/>
          <w:lang w:val="en-US"/>
        </w:rPr>
        <w:t xml:space="preserve">do not </w:t>
      </w:r>
      <w:r w:rsidR="00F67EDF">
        <w:rPr>
          <w:rFonts w:ascii="Times New Roman" w:hAnsi="Times New Roman"/>
          <w:sz w:val="24"/>
          <w:szCs w:val="24"/>
          <w:lang w:val="en-US"/>
        </w:rPr>
        <w:t>forc</w:t>
      </w:r>
      <w:r w:rsidR="003915A9">
        <w:rPr>
          <w:rFonts w:ascii="Times New Roman" w:hAnsi="Times New Roman"/>
          <w:sz w:val="24"/>
          <w:szCs w:val="24"/>
          <w:lang w:val="en-US"/>
        </w:rPr>
        <w:t>e</w:t>
      </w:r>
      <w:r w:rsidR="00F67EDF">
        <w:rPr>
          <w:rFonts w:ascii="Times New Roman" w:hAnsi="Times New Roman"/>
          <w:sz w:val="24"/>
          <w:szCs w:val="24"/>
          <w:lang w:val="en-US"/>
        </w:rPr>
        <w:t xml:space="preserve"> institutions to commercialize the</w:t>
      </w:r>
      <w:r w:rsidR="003915A9">
        <w:rPr>
          <w:rFonts w:ascii="Times New Roman" w:hAnsi="Times New Roman"/>
          <w:sz w:val="24"/>
          <w:szCs w:val="24"/>
          <w:lang w:val="en-US"/>
        </w:rPr>
        <w:t>ir</w:t>
      </w:r>
      <w:r w:rsidR="00F67EDF">
        <w:rPr>
          <w:rFonts w:ascii="Times New Roman" w:hAnsi="Times New Roman"/>
          <w:sz w:val="24"/>
          <w:szCs w:val="24"/>
          <w:lang w:val="en-US"/>
        </w:rPr>
        <w:t xml:space="preserve"> activities</w:t>
      </w:r>
      <w:r w:rsidR="004C34F2">
        <w:rPr>
          <w:rFonts w:ascii="Times New Roman" w:hAnsi="Times New Roman"/>
          <w:sz w:val="24"/>
          <w:szCs w:val="24"/>
          <w:lang w:val="en-US"/>
        </w:rPr>
        <w:t>,</w:t>
      </w:r>
      <w:r w:rsidR="00F67EDF">
        <w:rPr>
          <w:rFonts w:ascii="Times New Roman" w:hAnsi="Times New Roman"/>
          <w:sz w:val="24"/>
          <w:szCs w:val="24"/>
          <w:lang w:val="en-US"/>
        </w:rPr>
        <w:t xml:space="preserve"> limits the financial outlays they have to redress the situation of female students who are needy. </w:t>
      </w:r>
    </w:p>
    <w:p w:rsidR="00F67EDF" w:rsidRDefault="00F67EDF" w:rsidP="00F67EDF">
      <w:pPr>
        <w:pStyle w:val="HTMLPreformatted"/>
        <w:widowControl/>
        <w:spacing w:line="360" w:lineRule="auto"/>
        <w:jc w:val="both"/>
        <w:rPr>
          <w:rFonts w:ascii="Times New Roman" w:hAnsi="Times New Roman"/>
          <w:sz w:val="24"/>
          <w:szCs w:val="24"/>
          <w:lang w:val="en-US"/>
        </w:rPr>
      </w:pPr>
    </w:p>
    <w:p w:rsidR="00F67EDF" w:rsidRDefault="00352FBA" w:rsidP="00F67EDF">
      <w:pPr>
        <w:pStyle w:val="HTMLPreformatted"/>
        <w:widowControl/>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F67EDF">
        <w:rPr>
          <w:rFonts w:ascii="Times New Roman" w:hAnsi="Times New Roman"/>
          <w:sz w:val="24"/>
          <w:szCs w:val="24"/>
          <w:lang w:val="en-US"/>
        </w:rPr>
        <w:t>More importantly, it is imperative that institutions inculcate a culture of academic mentoring and advising as part of their academic programs.</w:t>
      </w:r>
      <w:r w:rsidR="00EC6D64">
        <w:rPr>
          <w:rFonts w:ascii="Times New Roman" w:hAnsi="Times New Roman"/>
          <w:sz w:val="24"/>
          <w:szCs w:val="24"/>
          <w:lang w:val="en-US"/>
        </w:rPr>
        <w:t xml:space="preserve"> Currently, most i</w:t>
      </w:r>
      <w:r w:rsidR="00F67EDF">
        <w:rPr>
          <w:rFonts w:ascii="Times New Roman" w:hAnsi="Times New Roman"/>
          <w:sz w:val="24"/>
          <w:szCs w:val="24"/>
          <w:lang w:val="en-US"/>
        </w:rPr>
        <w:t>nstitutions do not consider the services as core to</w:t>
      </w:r>
      <w:r w:rsidR="00EC6D64">
        <w:rPr>
          <w:rFonts w:ascii="Times New Roman" w:hAnsi="Times New Roman"/>
          <w:sz w:val="24"/>
          <w:szCs w:val="24"/>
          <w:lang w:val="en-US"/>
        </w:rPr>
        <w:t xml:space="preserve"> the </w:t>
      </w:r>
      <w:r w:rsidR="00F67EDF">
        <w:rPr>
          <w:rFonts w:ascii="Times New Roman" w:hAnsi="Times New Roman"/>
          <w:sz w:val="24"/>
          <w:szCs w:val="24"/>
          <w:lang w:val="en-US"/>
        </w:rPr>
        <w:t xml:space="preserve">academic culture and offer them on a voluntary basis. In others, what </w:t>
      </w:r>
      <w:r w:rsidR="00F67EDF">
        <w:rPr>
          <w:rFonts w:ascii="Times New Roman" w:hAnsi="Times New Roman"/>
          <w:sz w:val="24"/>
          <w:szCs w:val="24"/>
          <w:lang w:val="en-US"/>
        </w:rPr>
        <w:lastRenderedPageBreak/>
        <w:t xml:space="preserve">exists are the traditional guidance and counseling services, which sometimes only reach a few students, often when it is </w:t>
      </w:r>
      <w:r w:rsidR="00EC6D64">
        <w:rPr>
          <w:rFonts w:ascii="Times New Roman" w:hAnsi="Times New Roman"/>
          <w:sz w:val="24"/>
          <w:szCs w:val="24"/>
          <w:lang w:val="en-US"/>
        </w:rPr>
        <w:t xml:space="preserve">too </w:t>
      </w:r>
      <w:r w:rsidR="00F67EDF">
        <w:rPr>
          <w:rFonts w:ascii="Times New Roman" w:hAnsi="Times New Roman"/>
          <w:sz w:val="24"/>
          <w:szCs w:val="24"/>
          <w:lang w:val="en-US"/>
        </w:rPr>
        <w:t xml:space="preserve">late to positively intervene in a student’s academic progress. </w:t>
      </w:r>
      <w:r w:rsidR="00EC6D64">
        <w:rPr>
          <w:rFonts w:ascii="Times New Roman" w:hAnsi="Times New Roman"/>
          <w:sz w:val="24"/>
          <w:szCs w:val="24"/>
          <w:lang w:val="en-US"/>
        </w:rPr>
        <w:t>Consequently</w:t>
      </w:r>
      <w:r w:rsidR="00F67EDF">
        <w:rPr>
          <w:rFonts w:ascii="Times New Roman" w:hAnsi="Times New Roman"/>
          <w:sz w:val="24"/>
          <w:szCs w:val="24"/>
          <w:lang w:val="en-US"/>
        </w:rPr>
        <w:t>, given the rapid institutional expansion in enrollments that has taken place, the number of academic staff trained to act as academic mentors and advisors is inadequate. The institutions should explore strategies to address such gaps, including use of ICT for virtual mentoring and advising.</w:t>
      </w:r>
    </w:p>
    <w:p w:rsidR="00F67EDF" w:rsidRDefault="00F67EDF" w:rsidP="00F67EDF">
      <w:pPr>
        <w:spacing w:line="360" w:lineRule="auto"/>
        <w:contextualSpacing/>
        <w:jc w:val="both"/>
        <w:rPr>
          <w:rFonts w:ascii="Times New Roman" w:eastAsia="Times New Roman" w:hAnsi="Times New Roman"/>
          <w:color w:val="000000"/>
          <w:sz w:val="24"/>
          <w:szCs w:val="24"/>
          <w:lang w:val="en-US" w:eastAsia="en-GB"/>
        </w:rPr>
      </w:pPr>
    </w:p>
    <w:p w:rsidR="00F67EDF" w:rsidRPr="00643469" w:rsidRDefault="00F67EDF" w:rsidP="00F67EDF">
      <w:pPr>
        <w:spacing w:line="360" w:lineRule="auto"/>
        <w:contextualSpacing/>
        <w:jc w:val="both"/>
        <w:rPr>
          <w:rFonts w:ascii="Times New Roman" w:hAnsi="Times New Roman"/>
          <w:b/>
          <w:bCs/>
          <w:sz w:val="24"/>
          <w:szCs w:val="24"/>
        </w:rPr>
      </w:pPr>
      <w:r w:rsidRPr="00643469">
        <w:rPr>
          <w:rFonts w:ascii="Times New Roman" w:hAnsi="Times New Roman"/>
          <w:b/>
          <w:bCs/>
          <w:sz w:val="24"/>
          <w:szCs w:val="24"/>
        </w:rPr>
        <w:t>Conclusion</w:t>
      </w:r>
    </w:p>
    <w:p w:rsidR="00F67EDF" w:rsidRDefault="00F67EDF" w:rsidP="00F67EDF">
      <w:pPr>
        <w:spacing w:line="360" w:lineRule="auto"/>
        <w:contextualSpacing/>
        <w:jc w:val="both"/>
        <w:rPr>
          <w:rFonts w:ascii="Times New Roman" w:hAnsi="Times New Roman"/>
          <w:sz w:val="24"/>
          <w:szCs w:val="24"/>
        </w:rPr>
      </w:pPr>
      <w:r>
        <w:rPr>
          <w:rFonts w:ascii="Times New Roman" w:hAnsi="Times New Roman"/>
          <w:bCs/>
          <w:sz w:val="24"/>
          <w:szCs w:val="24"/>
        </w:rPr>
        <w:t>Higher education is critical to development and poverty alleviation. However, in most of Africa, equity considerations have not accompanied expansion of higher education institutions. Female students from poor backgrounds are not only accessing the institutions in fewer numbers, but they are also finding it difficult to enro</w:t>
      </w:r>
      <w:r w:rsidR="00DB0C1B">
        <w:rPr>
          <w:rFonts w:ascii="Times New Roman" w:hAnsi="Times New Roman"/>
          <w:bCs/>
          <w:sz w:val="24"/>
          <w:szCs w:val="24"/>
        </w:rPr>
        <w:t>l</w:t>
      </w:r>
      <w:r>
        <w:rPr>
          <w:rFonts w:ascii="Times New Roman" w:hAnsi="Times New Roman"/>
          <w:bCs/>
          <w:sz w:val="24"/>
          <w:szCs w:val="24"/>
        </w:rPr>
        <w:t>l in science and mathematics</w:t>
      </w:r>
      <w:r w:rsidR="00DB0C1B">
        <w:rPr>
          <w:rFonts w:ascii="Times New Roman" w:hAnsi="Times New Roman"/>
          <w:bCs/>
          <w:sz w:val="24"/>
          <w:szCs w:val="24"/>
        </w:rPr>
        <w:t>-</w:t>
      </w:r>
      <w:r>
        <w:rPr>
          <w:rFonts w:ascii="Times New Roman" w:hAnsi="Times New Roman"/>
          <w:bCs/>
          <w:sz w:val="24"/>
          <w:szCs w:val="24"/>
        </w:rPr>
        <w:t>based courses. National and institutional policies articulated to increase access have</w:t>
      </w:r>
      <w:r w:rsidRPr="00EC2BEC">
        <w:rPr>
          <w:rFonts w:ascii="Times New Roman" w:hAnsi="Times New Roman"/>
          <w:bCs/>
          <w:sz w:val="24"/>
          <w:szCs w:val="24"/>
        </w:rPr>
        <w:t xml:space="preserve"> most often not considered</w:t>
      </w:r>
      <w:r>
        <w:rPr>
          <w:rFonts w:ascii="Times New Roman" w:hAnsi="Times New Roman"/>
          <w:bCs/>
          <w:sz w:val="24"/>
          <w:szCs w:val="24"/>
        </w:rPr>
        <w:t xml:space="preserve"> the gendered dynamics involved in accessing and participating in higher education by female students.</w:t>
      </w:r>
      <w:r>
        <w:rPr>
          <w:rFonts w:ascii="Times New Roman" w:hAnsi="Times New Roman"/>
          <w:sz w:val="24"/>
          <w:szCs w:val="24"/>
        </w:rPr>
        <w:t xml:space="preserve"> </w:t>
      </w:r>
    </w:p>
    <w:p w:rsidR="00F67EDF" w:rsidRDefault="00F67EDF" w:rsidP="00F67EDF">
      <w:pPr>
        <w:spacing w:line="360" w:lineRule="auto"/>
        <w:contextualSpacing/>
        <w:jc w:val="both"/>
        <w:rPr>
          <w:rFonts w:ascii="Times New Roman" w:eastAsia="Times New Roman" w:hAnsi="Times New Roman"/>
          <w:b/>
          <w:color w:val="000000"/>
          <w:sz w:val="24"/>
          <w:szCs w:val="24"/>
          <w:lang w:eastAsia="en-GB"/>
        </w:rPr>
      </w:pPr>
    </w:p>
    <w:p w:rsidR="00F67EDF" w:rsidRDefault="00352FBA" w:rsidP="00F67EDF">
      <w:pPr>
        <w:spacing w:line="360" w:lineRule="auto"/>
        <w:contextualSpacing/>
        <w:jc w:val="both"/>
        <w:rPr>
          <w:rFonts w:ascii="Times New Roman" w:hAnsi="Times New Roman"/>
          <w:bCs/>
          <w:sz w:val="24"/>
          <w:szCs w:val="24"/>
        </w:rPr>
      </w:pPr>
      <w:r>
        <w:rPr>
          <w:rFonts w:ascii="Times New Roman" w:eastAsia="Times New Roman" w:hAnsi="Times New Roman"/>
          <w:color w:val="000000"/>
          <w:sz w:val="24"/>
          <w:szCs w:val="24"/>
          <w:lang w:eastAsia="en-GB"/>
        </w:rPr>
        <w:t xml:space="preserve">      </w:t>
      </w:r>
      <w:r w:rsidR="00F67EDF" w:rsidRPr="00CA2E2D">
        <w:rPr>
          <w:rFonts w:ascii="Times New Roman" w:eastAsia="Times New Roman" w:hAnsi="Times New Roman"/>
          <w:color w:val="000000"/>
          <w:sz w:val="24"/>
          <w:szCs w:val="24"/>
          <w:lang w:eastAsia="en-GB"/>
        </w:rPr>
        <w:t>The discussion here shows that</w:t>
      </w:r>
      <w:r w:rsidR="00F67EDF">
        <w:rPr>
          <w:rFonts w:ascii="Times New Roman" w:hAnsi="Times New Roman"/>
          <w:bCs/>
          <w:sz w:val="24"/>
          <w:szCs w:val="24"/>
        </w:rPr>
        <w:t xml:space="preserve"> equity interventions have not accompanied policies for expanding access to the institutions.  Instead, such interventions have had three limitations. </w:t>
      </w:r>
      <w:r w:rsidR="00DB0C1B">
        <w:rPr>
          <w:rFonts w:ascii="Times New Roman" w:hAnsi="Times New Roman"/>
          <w:bCs/>
          <w:sz w:val="24"/>
          <w:szCs w:val="24"/>
        </w:rPr>
        <w:t xml:space="preserve"> First, i</w:t>
      </w:r>
      <w:r w:rsidR="00F67EDF">
        <w:rPr>
          <w:rFonts w:ascii="Times New Roman" w:hAnsi="Times New Roman"/>
          <w:bCs/>
          <w:sz w:val="24"/>
          <w:szCs w:val="24"/>
        </w:rPr>
        <w:t>nterventions have firstly not been comprehensive and holistic enough t</w:t>
      </w:r>
      <w:r w:rsidR="00DB0C1B">
        <w:rPr>
          <w:rFonts w:ascii="Times New Roman" w:hAnsi="Times New Roman"/>
          <w:bCs/>
          <w:sz w:val="24"/>
          <w:szCs w:val="24"/>
        </w:rPr>
        <w:t>o</w:t>
      </w:r>
      <w:r w:rsidR="00F67EDF">
        <w:rPr>
          <w:rFonts w:ascii="Times New Roman" w:hAnsi="Times New Roman"/>
          <w:bCs/>
          <w:sz w:val="24"/>
          <w:szCs w:val="24"/>
        </w:rPr>
        <w:t xml:space="preserve"> enhanc</w:t>
      </w:r>
      <w:r w:rsidR="00DB0C1B">
        <w:rPr>
          <w:rFonts w:ascii="Times New Roman" w:hAnsi="Times New Roman"/>
          <w:bCs/>
          <w:sz w:val="24"/>
          <w:szCs w:val="24"/>
        </w:rPr>
        <w:t>e</w:t>
      </w:r>
      <w:r w:rsidR="00F67EDF">
        <w:rPr>
          <w:rFonts w:ascii="Times New Roman" w:hAnsi="Times New Roman"/>
          <w:bCs/>
          <w:sz w:val="24"/>
          <w:szCs w:val="24"/>
        </w:rPr>
        <w:t xml:space="preserve"> participation and transition from basic education to higher education in a manner that the two levels synergize each other. Higher education policies for widening participation of female students target only those </w:t>
      </w:r>
      <w:r w:rsidR="00DB0C1B">
        <w:rPr>
          <w:rFonts w:ascii="Times New Roman" w:hAnsi="Times New Roman"/>
          <w:bCs/>
          <w:sz w:val="24"/>
          <w:szCs w:val="24"/>
        </w:rPr>
        <w:t>who</w:t>
      </w:r>
      <w:r w:rsidR="00F67EDF">
        <w:rPr>
          <w:rFonts w:ascii="Times New Roman" w:hAnsi="Times New Roman"/>
          <w:bCs/>
          <w:sz w:val="24"/>
          <w:szCs w:val="24"/>
        </w:rPr>
        <w:t xml:space="preserve"> have finished secondary schooling and have no linkages to basic and higher education institutions. Second, policy interventions have targeted quantitative increases in female enro</w:t>
      </w:r>
      <w:r w:rsidR="00DB0C1B">
        <w:rPr>
          <w:rFonts w:ascii="Times New Roman" w:hAnsi="Times New Roman"/>
          <w:bCs/>
          <w:sz w:val="24"/>
          <w:szCs w:val="24"/>
        </w:rPr>
        <w:t>l</w:t>
      </w:r>
      <w:r w:rsidR="00F67EDF">
        <w:rPr>
          <w:rFonts w:ascii="Times New Roman" w:hAnsi="Times New Roman"/>
          <w:bCs/>
          <w:sz w:val="24"/>
          <w:szCs w:val="24"/>
        </w:rPr>
        <w:t xml:space="preserve">lment in higher education rarely addressing some of the qualitative gendered contexts in higher education institutions that circumvent </w:t>
      </w:r>
      <w:r w:rsidR="00DB0C1B">
        <w:rPr>
          <w:rFonts w:ascii="Times New Roman" w:hAnsi="Times New Roman"/>
          <w:bCs/>
          <w:sz w:val="24"/>
          <w:szCs w:val="24"/>
        </w:rPr>
        <w:t>female</w:t>
      </w:r>
      <w:r w:rsidR="00F67EDF">
        <w:rPr>
          <w:rFonts w:ascii="Times New Roman" w:hAnsi="Times New Roman"/>
          <w:bCs/>
          <w:sz w:val="24"/>
          <w:szCs w:val="24"/>
        </w:rPr>
        <w:t xml:space="preserve"> retention and completion. Policies have inadvertently created gendered higher education contexts resulting in ‘new frontiers of exclusion’. </w:t>
      </w:r>
      <w:r w:rsidR="00DB0C1B">
        <w:rPr>
          <w:rFonts w:ascii="Times New Roman" w:hAnsi="Times New Roman"/>
          <w:bCs/>
          <w:sz w:val="24"/>
          <w:szCs w:val="24"/>
        </w:rPr>
        <w:t>Third</w:t>
      </w:r>
      <w:r w:rsidR="00F67EDF">
        <w:rPr>
          <w:rFonts w:ascii="Times New Roman" w:hAnsi="Times New Roman"/>
          <w:bCs/>
          <w:sz w:val="24"/>
          <w:szCs w:val="24"/>
        </w:rPr>
        <w:t>, there has been limited theorization of access, not only in Nigeria and in Kenya, but also generally in Sub-Saharan Africa. Treating women as a seamless category ends up giving women from higher socio-economic backgrounds enhanced chances of access higher education while widening the gap f</w:t>
      </w:r>
      <w:r w:rsidR="00DB0C1B">
        <w:rPr>
          <w:rFonts w:ascii="Times New Roman" w:hAnsi="Times New Roman"/>
          <w:bCs/>
          <w:sz w:val="24"/>
          <w:szCs w:val="24"/>
        </w:rPr>
        <w:t>or</w:t>
      </w:r>
      <w:r w:rsidR="00F67EDF">
        <w:rPr>
          <w:rFonts w:ascii="Times New Roman" w:hAnsi="Times New Roman"/>
          <w:bCs/>
          <w:sz w:val="24"/>
          <w:szCs w:val="24"/>
        </w:rPr>
        <w:t xml:space="preserve"> women from poor socio-economic backgrounds who cannot even complete secondary education, let alone access higher education. </w:t>
      </w:r>
      <w:r w:rsidR="00F67EDF">
        <w:rPr>
          <w:rFonts w:ascii="Times New Roman" w:hAnsi="Times New Roman"/>
          <w:bCs/>
          <w:sz w:val="24"/>
          <w:szCs w:val="24"/>
        </w:rPr>
        <w:lastRenderedPageBreak/>
        <w:t xml:space="preserve">It is therefore critically important that policies targeting widening participation for female students also ensure that disadvantaged female students access such opportunities. </w:t>
      </w:r>
    </w:p>
    <w:p w:rsidR="00F67EDF" w:rsidRDefault="00F67EDF" w:rsidP="00F67EDF">
      <w:pPr>
        <w:pStyle w:val="HTMLPreformatted"/>
        <w:widowControl/>
        <w:spacing w:line="360" w:lineRule="auto"/>
        <w:rPr>
          <w:rFonts w:ascii="Times New Roman" w:hAnsi="Times New Roman"/>
          <w:b/>
          <w:sz w:val="24"/>
          <w:szCs w:val="24"/>
        </w:rPr>
      </w:pPr>
    </w:p>
    <w:p w:rsidR="00F67EDF" w:rsidRDefault="00F67EDF" w:rsidP="00F67EDF">
      <w:pPr>
        <w:pStyle w:val="HTMLPreformatted"/>
        <w:widowControl/>
        <w:spacing w:line="360" w:lineRule="auto"/>
        <w:jc w:val="center"/>
        <w:rPr>
          <w:rFonts w:ascii="Times New Roman" w:hAnsi="Times New Roman"/>
          <w:b/>
          <w:sz w:val="24"/>
          <w:szCs w:val="24"/>
        </w:rPr>
      </w:pPr>
      <w:r w:rsidRPr="00B74537">
        <w:rPr>
          <w:rFonts w:ascii="Times New Roman" w:hAnsi="Times New Roman"/>
          <w:b/>
          <w:sz w:val="24"/>
          <w:szCs w:val="24"/>
        </w:rPr>
        <w:t>Referenc</w:t>
      </w:r>
      <w:r>
        <w:rPr>
          <w:rFonts w:ascii="Times New Roman" w:hAnsi="Times New Roman"/>
          <w:b/>
          <w:sz w:val="24"/>
          <w:szCs w:val="24"/>
        </w:rPr>
        <w:t>es</w:t>
      </w:r>
    </w:p>
    <w:p w:rsidR="00F67EDF" w:rsidRDefault="00F67EDF" w:rsidP="00F67ED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ASTI/AWARD(2008)</w:t>
      </w:r>
      <w:r w:rsidR="00D9711F">
        <w:rPr>
          <w:rFonts w:ascii="Times New Roman" w:hAnsi="Times New Roman"/>
          <w:sz w:val="24"/>
          <w:szCs w:val="24"/>
          <w:lang w:val="en-US"/>
        </w:rPr>
        <w:t>.</w:t>
      </w:r>
      <w:r>
        <w:rPr>
          <w:rFonts w:ascii="Times New Roman" w:hAnsi="Times New Roman"/>
          <w:sz w:val="24"/>
          <w:szCs w:val="24"/>
          <w:lang w:val="en-US"/>
        </w:rPr>
        <w:t xml:space="preserve"> Women’s Participation in Agricultural Research and Higher Education: Kenya Fact Sheet, </w:t>
      </w:r>
      <w:r w:rsidRPr="00E57D16">
        <w:rPr>
          <w:rFonts w:ascii="Times New Roman" w:hAnsi="Times New Roman"/>
          <w:i/>
          <w:sz w:val="24"/>
          <w:szCs w:val="24"/>
          <w:lang w:val="en-US"/>
        </w:rPr>
        <w:t>International Food Policy Research Institute</w:t>
      </w:r>
      <w:r>
        <w:rPr>
          <w:rFonts w:ascii="Times New Roman" w:hAnsi="Times New Roman"/>
          <w:sz w:val="24"/>
          <w:szCs w:val="24"/>
          <w:lang w:val="en-US"/>
        </w:rPr>
        <w:t>, Washington, USA/ Viale delle Terme di. Caracalla, Italy</w:t>
      </w:r>
    </w:p>
    <w:p w:rsidR="00F67EDF" w:rsidRDefault="00F67EDF" w:rsidP="00F67EDF">
      <w:pPr>
        <w:autoSpaceDE w:val="0"/>
        <w:autoSpaceDN w:val="0"/>
        <w:adjustRightInd w:val="0"/>
        <w:spacing w:after="0" w:line="240" w:lineRule="auto"/>
        <w:jc w:val="both"/>
        <w:rPr>
          <w:rFonts w:ascii="Times New Roman" w:hAnsi="Times New Roman"/>
          <w:sz w:val="24"/>
          <w:szCs w:val="24"/>
          <w:lang w:val="en-US"/>
        </w:rPr>
      </w:pPr>
    </w:p>
    <w:p w:rsidR="00F67EDF" w:rsidRPr="00A80300" w:rsidRDefault="00F67EDF" w:rsidP="00F67EDF">
      <w:pPr>
        <w:autoSpaceDE w:val="0"/>
        <w:autoSpaceDN w:val="0"/>
        <w:adjustRightInd w:val="0"/>
        <w:spacing w:after="0" w:line="240" w:lineRule="auto"/>
        <w:jc w:val="both"/>
        <w:rPr>
          <w:rFonts w:ascii="Times New Roman" w:hAnsi="Times New Roman"/>
          <w:sz w:val="24"/>
          <w:szCs w:val="24"/>
          <w:lang w:val="en-US"/>
        </w:rPr>
      </w:pPr>
      <w:r w:rsidRPr="00A80300">
        <w:rPr>
          <w:rFonts w:ascii="Times New Roman" w:hAnsi="Times New Roman"/>
          <w:sz w:val="24"/>
          <w:szCs w:val="24"/>
          <w:lang w:val="en-US"/>
        </w:rPr>
        <w:t>Bunyi, G. W. (2006</w:t>
      </w:r>
      <w:r w:rsidRPr="00A80300">
        <w:rPr>
          <w:rFonts w:ascii="Times New Roman" w:hAnsi="Times New Roman"/>
          <w:i/>
          <w:iCs/>
          <w:sz w:val="24"/>
          <w:szCs w:val="24"/>
          <w:lang w:val="en-US"/>
        </w:rPr>
        <w:t>). Gender Equity in Higher Education in Kenya</w:t>
      </w:r>
      <w:r>
        <w:rPr>
          <w:rFonts w:ascii="Times New Roman" w:hAnsi="Times New Roman"/>
          <w:sz w:val="24"/>
          <w:szCs w:val="24"/>
          <w:lang w:val="en-US"/>
        </w:rPr>
        <w:t xml:space="preserve">. A background paper </w:t>
      </w:r>
      <w:r w:rsidRPr="00A80300">
        <w:rPr>
          <w:rFonts w:ascii="Times New Roman" w:hAnsi="Times New Roman"/>
          <w:sz w:val="24"/>
          <w:szCs w:val="24"/>
          <w:lang w:val="en-US"/>
        </w:rPr>
        <w:t>prepared for the</w:t>
      </w:r>
      <w:r>
        <w:rPr>
          <w:rFonts w:ascii="Times New Roman" w:hAnsi="Times New Roman"/>
          <w:sz w:val="24"/>
          <w:szCs w:val="24"/>
          <w:lang w:val="en-US"/>
        </w:rPr>
        <w:t xml:space="preserve"> </w:t>
      </w:r>
      <w:r w:rsidRPr="00A80300">
        <w:rPr>
          <w:rFonts w:ascii="Times New Roman" w:hAnsi="Times New Roman"/>
          <w:sz w:val="24"/>
          <w:szCs w:val="24"/>
          <w:lang w:val="en-US"/>
        </w:rPr>
        <w:t>Public Universities Inspection Board, Nairobi, Kenya.</w:t>
      </w:r>
    </w:p>
    <w:p w:rsidR="00F67EDF" w:rsidRDefault="00F67EDF" w:rsidP="00F67EDF">
      <w:pPr>
        <w:rPr>
          <w:rFonts w:ascii="Times New Roman" w:hAnsi="Times New Roman"/>
        </w:rPr>
      </w:pPr>
    </w:p>
    <w:p w:rsidR="00F67EDF" w:rsidRPr="00B02562" w:rsidRDefault="00F67EDF" w:rsidP="00F67EDF">
      <w:pPr>
        <w:rPr>
          <w:rFonts w:ascii="Times New Roman" w:hAnsi="Times New Roman"/>
        </w:rPr>
      </w:pPr>
      <w:r w:rsidRPr="00B02562">
        <w:rPr>
          <w:rFonts w:ascii="Times New Roman" w:hAnsi="Times New Roman"/>
        </w:rPr>
        <w:t>Federal Ministry of</w:t>
      </w:r>
      <w:r>
        <w:rPr>
          <w:rFonts w:ascii="Times New Roman" w:hAnsi="Times New Roman"/>
        </w:rPr>
        <w:t xml:space="preserve"> Education (2009)</w:t>
      </w:r>
      <w:r w:rsidR="00D9711F">
        <w:rPr>
          <w:rFonts w:ascii="Times New Roman" w:hAnsi="Times New Roman"/>
        </w:rPr>
        <w:t>.</w:t>
      </w:r>
      <w:r w:rsidRPr="00B02562">
        <w:rPr>
          <w:rFonts w:ascii="Times New Roman" w:hAnsi="Times New Roman"/>
        </w:rPr>
        <w:t xml:space="preserve"> Roadmap for the Nigerian Education Sector: Consultative Draft</w:t>
      </w:r>
      <w:r>
        <w:rPr>
          <w:rFonts w:ascii="Times New Roman" w:hAnsi="Times New Roman"/>
        </w:rPr>
        <w:t>,</w:t>
      </w:r>
      <w:r w:rsidRPr="00B02562">
        <w:rPr>
          <w:rFonts w:ascii="Times New Roman" w:hAnsi="Times New Roman"/>
        </w:rPr>
        <w:t xml:space="preserve"> Abuja, Federal Republic of Nigeria</w:t>
      </w:r>
    </w:p>
    <w:p w:rsidR="00F67EDF" w:rsidRPr="00B02562" w:rsidRDefault="00F67EDF" w:rsidP="00F67EDF">
      <w:pPr>
        <w:rPr>
          <w:rFonts w:ascii="Times New Roman" w:hAnsi="Times New Roman"/>
        </w:rPr>
      </w:pPr>
      <w:r w:rsidRPr="00B02562">
        <w:rPr>
          <w:rFonts w:ascii="Times New Roman" w:hAnsi="Times New Roman"/>
        </w:rPr>
        <w:t>Federa</w:t>
      </w:r>
      <w:r>
        <w:rPr>
          <w:rFonts w:ascii="Times New Roman" w:hAnsi="Times New Roman"/>
        </w:rPr>
        <w:t xml:space="preserve">l Ministry of Education (2007) </w:t>
      </w:r>
      <w:r w:rsidRPr="00B02562">
        <w:rPr>
          <w:rFonts w:ascii="Times New Roman" w:hAnsi="Times New Roman"/>
        </w:rPr>
        <w:t>Statistics of Education in Nigeria: 1999-2005. Abuja, Statistics and NEMIS Branch, Federal Ministry of Education Nigeria.</w:t>
      </w:r>
    </w:p>
    <w:p w:rsidR="00F67EDF" w:rsidRPr="00B02562" w:rsidRDefault="00F67EDF" w:rsidP="00F67EDF">
      <w:pPr>
        <w:rPr>
          <w:rFonts w:ascii="Times New Roman" w:hAnsi="Times New Roman"/>
        </w:rPr>
      </w:pPr>
      <w:r w:rsidRPr="00B02562">
        <w:rPr>
          <w:rFonts w:ascii="Times New Roman" w:hAnsi="Times New Roman"/>
        </w:rPr>
        <w:t>Fed</w:t>
      </w:r>
      <w:r>
        <w:rPr>
          <w:rFonts w:ascii="Times New Roman" w:hAnsi="Times New Roman"/>
        </w:rPr>
        <w:t>eral Republic of Nigeria (2008)</w:t>
      </w:r>
      <w:r w:rsidRPr="00B02562">
        <w:rPr>
          <w:rFonts w:ascii="Times New Roman" w:hAnsi="Times New Roman"/>
        </w:rPr>
        <w:t xml:space="preserve"> Jigawa State Education Strategic Plan (SESP) 2009- 2018, Draft. </w:t>
      </w:r>
    </w:p>
    <w:p w:rsidR="00F67EDF" w:rsidRPr="00B02562" w:rsidRDefault="00F67EDF" w:rsidP="00F67EDF">
      <w:pPr>
        <w:pStyle w:val="HTMLPreformatted"/>
        <w:widowControl/>
        <w:jc w:val="both"/>
        <w:rPr>
          <w:rFonts w:ascii="Times New Roman" w:hAnsi="Times New Roman"/>
          <w:sz w:val="24"/>
          <w:szCs w:val="24"/>
        </w:rPr>
      </w:pPr>
      <w:r w:rsidRPr="00B02562">
        <w:rPr>
          <w:rFonts w:ascii="Times New Roman" w:hAnsi="Times New Roman"/>
          <w:sz w:val="24"/>
          <w:szCs w:val="24"/>
        </w:rPr>
        <w:t>Griffin</w:t>
      </w:r>
      <w:r w:rsidR="00D9711F">
        <w:rPr>
          <w:rFonts w:ascii="Times New Roman" w:hAnsi="Times New Roman"/>
          <w:sz w:val="24"/>
          <w:szCs w:val="24"/>
        </w:rPr>
        <w:t>,</w:t>
      </w:r>
      <w:r w:rsidRPr="00B02562">
        <w:rPr>
          <w:rFonts w:ascii="Times New Roman" w:hAnsi="Times New Roman"/>
          <w:sz w:val="24"/>
          <w:szCs w:val="24"/>
        </w:rPr>
        <w:t xml:space="preserve"> Anne-Marie (2007), Education Pathways in East Africa: Scaling a Difficult Terrain, Kampala, Association for the Advancement of Higher Ed</w:t>
      </w:r>
      <w:r>
        <w:rPr>
          <w:rFonts w:ascii="Times New Roman" w:hAnsi="Times New Roman"/>
          <w:sz w:val="24"/>
          <w:szCs w:val="24"/>
        </w:rPr>
        <w:t>ucation and Development (AHEAD), Kampala, Uganda</w:t>
      </w:r>
    </w:p>
    <w:p w:rsidR="00F67EDF" w:rsidRDefault="00F67EDF" w:rsidP="00F67EDF">
      <w:pPr>
        <w:autoSpaceDE w:val="0"/>
        <w:autoSpaceDN w:val="0"/>
        <w:adjustRightInd w:val="0"/>
        <w:spacing w:after="0" w:line="240" w:lineRule="auto"/>
        <w:jc w:val="both"/>
        <w:rPr>
          <w:rFonts w:ascii="Times New Roman" w:eastAsia="Times New Roman" w:hAnsi="Times New Roman"/>
          <w:color w:val="000000"/>
          <w:sz w:val="24"/>
          <w:szCs w:val="24"/>
          <w:lang w:eastAsia="en-GB"/>
        </w:rPr>
      </w:pPr>
    </w:p>
    <w:p w:rsidR="00F67EDF" w:rsidRPr="00A80300" w:rsidRDefault="00F67EDF" w:rsidP="00F67EDF">
      <w:pPr>
        <w:autoSpaceDE w:val="0"/>
        <w:autoSpaceDN w:val="0"/>
        <w:adjustRightInd w:val="0"/>
        <w:spacing w:after="0" w:line="240" w:lineRule="auto"/>
        <w:jc w:val="both"/>
        <w:rPr>
          <w:rFonts w:ascii="Times New Roman" w:hAnsi="Times New Roman"/>
          <w:i/>
          <w:iCs/>
          <w:sz w:val="24"/>
          <w:szCs w:val="24"/>
          <w:lang w:val="en-US"/>
        </w:rPr>
      </w:pPr>
      <w:r w:rsidRPr="00A80300">
        <w:rPr>
          <w:rFonts w:ascii="Times New Roman" w:hAnsi="Times New Roman"/>
          <w:sz w:val="24"/>
          <w:szCs w:val="24"/>
          <w:lang w:val="en-US"/>
        </w:rPr>
        <w:t>H</w:t>
      </w:r>
      <w:r>
        <w:rPr>
          <w:rFonts w:ascii="Times New Roman" w:hAnsi="Times New Roman"/>
          <w:sz w:val="24"/>
          <w:szCs w:val="24"/>
          <w:lang w:val="en-US"/>
        </w:rPr>
        <w:t>uggins, A. &amp; Randell, S. (2007)</w:t>
      </w:r>
      <w:r w:rsidR="00D9711F">
        <w:rPr>
          <w:rFonts w:ascii="Times New Roman" w:hAnsi="Times New Roman"/>
          <w:sz w:val="24"/>
          <w:szCs w:val="24"/>
          <w:lang w:val="en-US"/>
        </w:rPr>
        <w:t>.</w:t>
      </w:r>
      <w:r w:rsidRPr="00A80300">
        <w:rPr>
          <w:rFonts w:ascii="Times New Roman" w:hAnsi="Times New Roman"/>
          <w:sz w:val="24"/>
          <w:szCs w:val="24"/>
          <w:lang w:val="en-US"/>
        </w:rPr>
        <w:t xml:space="preserve"> </w:t>
      </w:r>
      <w:r>
        <w:rPr>
          <w:rFonts w:ascii="Times New Roman" w:hAnsi="Times New Roman"/>
          <w:sz w:val="24"/>
          <w:szCs w:val="24"/>
          <w:lang w:val="en-US"/>
        </w:rPr>
        <w:t>‘</w:t>
      </w:r>
      <w:r w:rsidRPr="00A80300">
        <w:rPr>
          <w:rFonts w:ascii="Times New Roman" w:hAnsi="Times New Roman"/>
          <w:iCs/>
          <w:sz w:val="24"/>
          <w:szCs w:val="24"/>
          <w:lang w:val="en-US"/>
        </w:rPr>
        <w:t>Gender Equality in Education in Rwanda: What is Happening to Our Girls?</w:t>
      </w:r>
      <w:r>
        <w:rPr>
          <w:rFonts w:ascii="Times New Roman" w:hAnsi="Times New Roman"/>
          <w:iCs/>
          <w:sz w:val="24"/>
          <w:szCs w:val="24"/>
          <w:lang w:val="en-US"/>
        </w:rPr>
        <w:t>’</w:t>
      </w:r>
      <w:r w:rsidRPr="00A80300">
        <w:rPr>
          <w:rFonts w:ascii="Times New Roman" w:hAnsi="Times New Roman"/>
          <w:i/>
          <w:iCs/>
          <w:sz w:val="24"/>
          <w:szCs w:val="24"/>
          <w:lang w:val="en-US"/>
        </w:rPr>
        <w:t xml:space="preserve"> </w:t>
      </w:r>
      <w:r w:rsidRPr="00A80300">
        <w:rPr>
          <w:rFonts w:ascii="Times New Roman" w:hAnsi="Times New Roman"/>
          <w:sz w:val="24"/>
          <w:szCs w:val="24"/>
          <w:lang w:val="en-US"/>
        </w:rPr>
        <w:t>Paper presented at the South African Association of Women Graduates</w:t>
      </w:r>
      <w:r>
        <w:rPr>
          <w:rFonts w:ascii="Times New Roman" w:hAnsi="Times New Roman"/>
          <w:i/>
          <w:iCs/>
          <w:sz w:val="24"/>
          <w:szCs w:val="24"/>
          <w:lang w:val="en-US"/>
        </w:rPr>
        <w:t xml:space="preserve"> </w:t>
      </w:r>
      <w:r w:rsidRPr="00A80300">
        <w:rPr>
          <w:rFonts w:ascii="Times New Roman" w:hAnsi="Times New Roman"/>
          <w:sz w:val="24"/>
          <w:szCs w:val="24"/>
          <w:lang w:val="en-US"/>
        </w:rPr>
        <w:t>Conference on “Drop-outs from School and Tertiary Studies: What is Happening to our</w:t>
      </w:r>
      <w:r>
        <w:rPr>
          <w:rFonts w:ascii="Times New Roman" w:hAnsi="Times New Roman"/>
          <w:i/>
          <w:iCs/>
          <w:sz w:val="24"/>
          <w:szCs w:val="24"/>
          <w:lang w:val="en-US"/>
        </w:rPr>
        <w:t xml:space="preserve"> </w:t>
      </w:r>
      <w:r w:rsidRPr="00A80300">
        <w:rPr>
          <w:rFonts w:ascii="Times New Roman" w:hAnsi="Times New Roman"/>
          <w:sz w:val="24"/>
          <w:szCs w:val="24"/>
          <w:lang w:val="en-US"/>
        </w:rPr>
        <w:t>Girls?”, Cape Town, May 2007.</w:t>
      </w:r>
    </w:p>
    <w:p w:rsidR="00F67EDF" w:rsidRDefault="00F67EDF" w:rsidP="00F67EDF">
      <w:pPr>
        <w:pStyle w:val="HTMLPreformatted"/>
        <w:widowControl/>
        <w:spacing w:line="360" w:lineRule="auto"/>
        <w:jc w:val="both"/>
        <w:rPr>
          <w:rFonts w:ascii="Times New Roman" w:hAnsi="Times New Roman"/>
          <w:sz w:val="24"/>
          <w:szCs w:val="24"/>
        </w:rPr>
      </w:pPr>
    </w:p>
    <w:p w:rsidR="00F67EDF" w:rsidRDefault="00F67EDF" w:rsidP="00F67EDF">
      <w:pPr>
        <w:pStyle w:val="HTMLPreformatted"/>
        <w:widowControl/>
        <w:spacing w:line="360" w:lineRule="auto"/>
        <w:jc w:val="both"/>
        <w:rPr>
          <w:rFonts w:ascii="Times New Roman" w:hAnsi="Times New Roman"/>
          <w:sz w:val="24"/>
          <w:szCs w:val="24"/>
        </w:rPr>
      </w:pPr>
      <w:r w:rsidRPr="00B02562">
        <w:rPr>
          <w:rFonts w:ascii="Times New Roman" w:hAnsi="Times New Roman"/>
          <w:sz w:val="24"/>
          <w:szCs w:val="24"/>
        </w:rPr>
        <w:t>Kenya,</w:t>
      </w:r>
      <w:r>
        <w:rPr>
          <w:rFonts w:ascii="Times New Roman" w:hAnsi="Times New Roman"/>
          <w:sz w:val="24"/>
          <w:szCs w:val="24"/>
        </w:rPr>
        <w:t xml:space="preserve"> Ministry of Education</w:t>
      </w:r>
      <w:r w:rsidRPr="00B02562">
        <w:rPr>
          <w:rFonts w:ascii="Times New Roman" w:hAnsi="Times New Roman"/>
          <w:sz w:val="24"/>
          <w:szCs w:val="24"/>
        </w:rPr>
        <w:t xml:space="preserve"> (2009) Ministry of Education, EMIS Statistics</w:t>
      </w:r>
    </w:p>
    <w:p w:rsidR="00F67EDF" w:rsidRDefault="00F67EDF" w:rsidP="00F67EDF">
      <w:pPr>
        <w:pStyle w:val="HTMLPreformatted"/>
        <w:widowControl/>
        <w:jc w:val="both"/>
        <w:rPr>
          <w:rFonts w:ascii="Times New Roman" w:hAnsi="Times New Roman"/>
          <w:sz w:val="24"/>
          <w:szCs w:val="24"/>
        </w:rPr>
      </w:pPr>
    </w:p>
    <w:p w:rsidR="00F67EDF" w:rsidRPr="00B02562" w:rsidRDefault="00F67EDF" w:rsidP="00F67EDF">
      <w:pPr>
        <w:pStyle w:val="HTMLPreformatted"/>
        <w:widowControl/>
        <w:jc w:val="both"/>
        <w:rPr>
          <w:rFonts w:ascii="Times New Roman" w:hAnsi="Times New Roman"/>
          <w:sz w:val="24"/>
          <w:szCs w:val="24"/>
        </w:rPr>
      </w:pPr>
      <w:r w:rsidRPr="00B02562">
        <w:rPr>
          <w:rFonts w:ascii="Times New Roman" w:hAnsi="Times New Roman"/>
          <w:sz w:val="24"/>
          <w:szCs w:val="24"/>
        </w:rPr>
        <w:t xml:space="preserve">Kenyatta University, (2005), Strategic and Vision Plan, 2005-2015 </w:t>
      </w:r>
    </w:p>
    <w:p w:rsidR="00F67EDF" w:rsidRPr="00B02562" w:rsidRDefault="00F67EDF" w:rsidP="00F67EDF">
      <w:pPr>
        <w:pStyle w:val="HTMLPreformatted"/>
        <w:widowControl/>
        <w:jc w:val="both"/>
        <w:rPr>
          <w:rFonts w:ascii="Times New Roman" w:hAnsi="Times New Roman"/>
          <w:sz w:val="24"/>
          <w:szCs w:val="24"/>
        </w:rPr>
      </w:pPr>
    </w:p>
    <w:p w:rsidR="00F67EDF" w:rsidRPr="00B02562" w:rsidRDefault="00F67EDF" w:rsidP="00F67EDF">
      <w:pPr>
        <w:pStyle w:val="HTMLPreformatted"/>
        <w:widowControl/>
        <w:jc w:val="both"/>
        <w:rPr>
          <w:rFonts w:ascii="Times New Roman" w:hAnsi="Times New Roman"/>
          <w:sz w:val="24"/>
          <w:szCs w:val="24"/>
        </w:rPr>
      </w:pPr>
      <w:r w:rsidRPr="00B02562">
        <w:rPr>
          <w:rFonts w:ascii="Times New Roman" w:hAnsi="Times New Roman"/>
          <w:sz w:val="24"/>
          <w:szCs w:val="24"/>
        </w:rPr>
        <w:t>Lewin</w:t>
      </w:r>
      <w:r w:rsidR="00D9711F">
        <w:rPr>
          <w:rFonts w:ascii="Times New Roman" w:hAnsi="Times New Roman"/>
          <w:sz w:val="24"/>
          <w:szCs w:val="24"/>
        </w:rPr>
        <w:t>,</w:t>
      </w:r>
      <w:r w:rsidRPr="00B02562">
        <w:rPr>
          <w:rFonts w:ascii="Times New Roman" w:hAnsi="Times New Roman"/>
          <w:sz w:val="24"/>
          <w:szCs w:val="24"/>
        </w:rPr>
        <w:t xml:space="preserve"> Keith (2007)</w:t>
      </w:r>
      <w:r w:rsidR="00D9711F">
        <w:rPr>
          <w:rFonts w:ascii="Times New Roman" w:hAnsi="Times New Roman"/>
          <w:sz w:val="24"/>
          <w:szCs w:val="24"/>
        </w:rPr>
        <w:t>.</w:t>
      </w:r>
      <w:r w:rsidRPr="00B02562">
        <w:rPr>
          <w:rFonts w:ascii="Times New Roman" w:hAnsi="Times New Roman"/>
          <w:sz w:val="24"/>
          <w:szCs w:val="24"/>
        </w:rPr>
        <w:t xml:space="preserve"> Improving </w:t>
      </w:r>
      <w:r w:rsidR="00D9711F">
        <w:rPr>
          <w:rFonts w:ascii="Times New Roman" w:hAnsi="Times New Roman"/>
          <w:sz w:val="24"/>
          <w:szCs w:val="24"/>
        </w:rPr>
        <w:t>A</w:t>
      </w:r>
      <w:r w:rsidRPr="00B02562">
        <w:rPr>
          <w:rFonts w:ascii="Times New Roman" w:hAnsi="Times New Roman"/>
          <w:sz w:val="24"/>
          <w:szCs w:val="24"/>
        </w:rPr>
        <w:t xml:space="preserve">ccess, </w:t>
      </w:r>
      <w:r w:rsidR="00D9711F">
        <w:rPr>
          <w:rFonts w:ascii="Times New Roman" w:hAnsi="Times New Roman"/>
          <w:sz w:val="24"/>
          <w:szCs w:val="24"/>
        </w:rPr>
        <w:t>E</w:t>
      </w:r>
      <w:r w:rsidRPr="00B02562">
        <w:rPr>
          <w:rFonts w:ascii="Times New Roman" w:hAnsi="Times New Roman"/>
          <w:sz w:val="24"/>
          <w:szCs w:val="24"/>
        </w:rPr>
        <w:t xml:space="preserve">quity and </w:t>
      </w:r>
      <w:r w:rsidR="00D9711F">
        <w:rPr>
          <w:rFonts w:ascii="Times New Roman" w:hAnsi="Times New Roman"/>
          <w:sz w:val="24"/>
          <w:szCs w:val="24"/>
        </w:rPr>
        <w:t>T</w:t>
      </w:r>
      <w:r w:rsidRPr="00B02562">
        <w:rPr>
          <w:rFonts w:ascii="Times New Roman" w:hAnsi="Times New Roman"/>
          <w:sz w:val="24"/>
          <w:szCs w:val="24"/>
        </w:rPr>
        <w:t xml:space="preserve">ransition in </w:t>
      </w:r>
      <w:r w:rsidR="00D9711F">
        <w:rPr>
          <w:rFonts w:ascii="Times New Roman" w:hAnsi="Times New Roman"/>
          <w:sz w:val="24"/>
          <w:szCs w:val="24"/>
        </w:rPr>
        <w:t>E</w:t>
      </w:r>
      <w:r w:rsidRPr="00B02562">
        <w:rPr>
          <w:rFonts w:ascii="Times New Roman" w:hAnsi="Times New Roman"/>
          <w:sz w:val="24"/>
          <w:szCs w:val="24"/>
        </w:rPr>
        <w:t xml:space="preserve">ducation; </w:t>
      </w:r>
      <w:r w:rsidR="00D9711F">
        <w:rPr>
          <w:rFonts w:ascii="Times New Roman" w:hAnsi="Times New Roman"/>
          <w:sz w:val="24"/>
          <w:szCs w:val="24"/>
        </w:rPr>
        <w:t>C</w:t>
      </w:r>
      <w:r w:rsidRPr="00B02562">
        <w:rPr>
          <w:rFonts w:ascii="Times New Roman" w:hAnsi="Times New Roman"/>
          <w:sz w:val="24"/>
          <w:szCs w:val="24"/>
        </w:rPr>
        <w:t xml:space="preserve">reating a Research </w:t>
      </w:r>
      <w:r w:rsidR="00D9711F">
        <w:rPr>
          <w:rFonts w:ascii="Times New Roman" w:hAnsi="Times New Roman"/>
          <w:sz w:val="24"/>
          <w:szCs w:val="24"/>
        </w:rPr>
        <w:t>A</w:t>
      </w:r>
      <w:r w:rsidRPr="00B02562">
        <w:rPr>
          <w:rFonts w:ascii="Times New Roman" w:hAnsi="Times New Roman"/>
          <w:sz w:val="24"/>
          <w:szCs w:val="24"/>
        </w:rPr>
        <w:t>genda, CREATE, Research Monograph No 1</w:t>
      </w:r>
    </w:p>
    <w:p w:rsidR="00F67EDF" w:rsidRPr="00B02562" w:rsidRDefault="00F67EDF" w:rsidP="00F67EDF">
      <w:pPr>
        <w:pStyle w:val="Default"/>
        <w:contextualSpacing/>
        <w:jc w:val="both"/>
        <w:rPr>
          <w:rFonts w:eastAsia="Times New Roman"/>
          <w:lang w:val="en-GB" w:eastAsia="en-GB"/>
        </w:rPr>
      </w:pPr>
    </w:p>
    <w:p w:rsidR="00F67EDF" w:rsidRPr="00B02562" w:rsidRDefault="00F67EDF" w:rsidP="00F67EDF">
      <w:pPr>
        <w:pStyle w:val="Default"/>
        <w:contextualSpacing/>
        <w:jc w:val="both"/>
        <w:rPr>
          <w:lang w:val="en-GB"/>
        </w:rPr>
      </w:pPr>
      <w:r w:rsidRPr="00B02562">
        <w:rPr>
          <w:lang w:val="en-GB"/>
        </w:rPr>
        <w:t>Luhanga, M.L. and Mashalla</w:t>
      </w:r>
      <w:r w:rsidR="00D9711F">
        <w:rPr>
          <w:lang w:val="en-GB"/>
        </w:rPr>
        <w:t xml:space="preserve">, </w:t>
      </w:r>
      <w:r w:rsidR="00D9711F" w:rsidRPr="00B02562">
        <w:rPr>
          <w:lang w:val="en-GB"/>
        </w:rPr>
        <w:t>Y.</w:t>
      </w:r>
      <w:r w:rsidR="00D9711F" w:rsidRPr="00B02562">
        <w:rPr>
          <w:bCs/>
          <w:lang w:val="en-GB"/>
        </w:rPr>
        <w:t>J.S</w:t>
      </w:r>
      <w:r w:rsidR="00D9711F">
        <w:rPr>
          <w:bCs/>
          <w:lang w:val="en-GB"/>
        </w:rPr>
        <w:t>.</w:t>
      </w:r>
      <w:r w:rsidRPr="00B02562">
        <w:rPr>
          <w:lang w:val="en-GB"/>
        </w:rPr>
        <w:t xml:space="preserve"> (2005)</w:t>
      </w:r>
      <w:r w:rsidR="00D9711F">
        <w:rPr>
          <w:lang w:val="en-GB"/>
        </w:rPr>
        <w:t>.</w:t>
      </w:r>
      <w:r w:rsidRPr="00B02562">
        <w:rPr>
          <w:lang w:val="en-GB"/>
        </w:rPr>
        <w:t xml:space="preserve"> Reforms and Innovations in Higher Education: A Reflection on the </w:t>
      </w:r>
      <w:r w:rsidR="00D9711F">
        <w:rPr>
          <w:lang w:val="en-GB"/>
        </w:rPr>
        <w:t>I</w:t>
      </w:r>
      <w:r w:rsidRPr="00B02562">
        <w:rPr>
          <w:lang w:val="en-GB"/>
        </w:rPr>
        <w:t>nitiatives and Lessons at the University of Dar es Salaam in Tanzania</w:t>
      </w:r>
      <w:r w:rsidR="00D9711F">
        <w:rPr>
          <w:lang w:val="en-GB"/>
        </w:rPr>
        <w:t>,</w:t>
      </w:r>
      <w:r w:rsidRPr="00B02562">
        <w:rPr>
          <w:lang w:val="en-GB"/>
        </w:rPr>
        <w:t xml:space="preserve"> 1994-2004,</w:t>
      </w:r>
      <w:r w:rsidRPr="00B02562">
        <w:rPr>
          <w:bCs/>
          <w:lang w:val="en-GB"/>
        </w:rPr>
        <w:t xml:space="preserve"> Paper prepared for the </w:t>
      </w:r>
      <w:r w:rsidRPr="00B02562">
        <w:rPr>
          <w:lang w:val="en-GB"/>
        </w:rPr>
        <w:t>Nuffic Conference ‘A Changing Landscape’, The Hague, 23-25 Ma</w:t>
      </w:r>
      <w:r w:rsidR="00D9711F">
        <w:rPr>
          <w:lang w:val="en-GB"/>
        </w:rPr>
        <w:t>.</w:t>
      </w:r>
    </w:p>
    <w:p w:rsidR="00F67EDF" w:rsidRPr="00B02562" w:rsidRDefault="00F67EDF" w:rsidP="00F67EDF">
      <w:pPr>
        <w:pStyle w:val="HTMLPreformatted"/>
        <w:widowControl/>
        <w:tabs>
          <w:tab w:val="left" w:pos="195"/>
        </w:tabs>
        <w:spacing w:line="360" w:lineRule="auto"/>
        <w:rPr>
          <w:rFonts w:ascii="Times New Roman" w:hAnsi="Times New Roman"/>
          <w:sz w:val="24"/>
          <w:szCs w:val="24"/>
        </w:rPr>
      </w:pPr>
      <w:r w:rsidRPr="00B02562">
        <w:rPr>
          <w:rFonts w:ascii="Times New Roman" w:hAnsi="Times New Roman"/>
          <w:sz w:val="24"/>
          <w:szCs w:val="24"/>
        </w:rPr>
        <w:tab/>
      </w:r>
      <w:r w:rsidRPr="00B02562">
        <w:rPr>
          <w:rFonts w:ascii="Times New Roman" w:hAnsi="Times New Roman"/>
          <w:sz w:val="24"/>
          <w:szCs w:val="24"/>
        </w:rPr>
        <w:tab/>
      </w:r>
      <w:r w:rsidRPr="00B02562">
        <w:rPr>
          <w:rFonts w:ascii="Times New Roman" w:hAnsi="Times New Roman"/>
          <w:sz w:val="24"/>
          <w:szCs w:val="24"/>
        </w:rPr>
        <w:tab/>
      </w:r>
      <w:r w:rsidRPr="00B02562">
        <w:rPr>
          <w:rFonts w:ascii="Times New Roman" w:hAnsi="Times New Roman"/>
          <w:sz w:val="24"/>
          <w:szCs w:val="24"/>
        </w:rPr>
        <w:tab/>
      </w:r>
      <w:r w:rsidRPr="00B02562">
        <w:rPr>
          <w:rFonts w:ascii="Times New Roman" w:hAnsi="Times New Roman"/>
          <w:sz w:val="24"/>
          <w:szCs w:val="24"/>
        </w:rPr>
        <w:tab/>
      </w:r>
    </w:p>
    <w:p w:rsidR="00F67EDF" w:rsidRPr="00B02562" w:rsidRDefault="00F67EDF" w:rsidP="00F67EDF">
      <w:pPr>
        <w:pStyle w:val="HTMLPreformatted"/>
        <w:widowControl/>
        <w:tabs>
          <w:tab w:val="left" w:pos="195"/>
        </w:tabs>
        <w:rPr>
          <w:rFonts w:ascii="Times New Roman" w:hAnsi="Times New Roman"/>
          <w:sz w:val="24"/>
          <w:szCs w:val="24"/>
        </w:rPr>
      </w:pPr>
      <w:r w:rsidRPr="00B02562">
        <w:rPr>
          <w:rFonts w:ascii="Times New Roman" w:hAnsi="Times New Roman"/>
          <w:sz w:val="24"/>
          <w:szCs w:val="24"/>
        </w:rPr>
        <w:lastRenderedPageBreak/>
        <w:t xml:space="preserve">Morley, L., Leach, F. and Lugg, R. (2008) ‘Democratizing </w:t>
      </w:r>
      <w:r w:rsidR="00D9711F">
        <w:rPr>
          <w:rFonts w:ascii="Times New Roman" w:hAnsi="Times New Roman"/>
          <w:sz w:val="24"/>
          <w:szCs w:val="24"/>
        </w:rPr>
        <w:t>H</w:t>
      </w:r>
      <w:r w:rsidRPr="00B02562">
        <w:rPr>
          <w:rFonts w:ascii="Times New Roman" w:hAnsi="Times New Roman"/>
          <w:sz w:val="24"/>
          <w:szCs w:val="24"/>
        </w:rPr>
        <w:t xml:space="preserve">igher </w:t>
      </w:r>
      <w:r w:rsidR="00D9711F">
        <w:rPr>
          <w:rFonts w:ascii="Times New Roman" w:hAnsi="Times New Roman"/>
          <w:sz w:val="24"/>
          <w:szCs w:val="24"/>
        </w:rPr>
        <w:t>E</w:t>
      </w:r>
      <w:r w:rsidRPr="00B02562">
        <w:rPr>
          <w:rFonts w:ascii="Times New Roman" w:hAnsi="Times New Roman"/>
          <w:sz w:val="24"/>
          <w:szCs w:val="24"/>
        </w:rPr>
        <w:t xml:space="preserve">ducation in Ghana and Tanzania: Opportunity </w:t>
      </w:r>
      <w:r w:rsidR="00D9711F">
        <w:rPr>
          <w:rFonts w:ascii="Times New Roman" w:hAnsi="Times New Roman"/>
          <w:sz w:val="24"/>
          <w:szCs w:val="24"/>
        </w:rPr>
        <w:t>S</w:t>
      </w:r>
      <w:r w:rsidRPr="00B02562">
        <w:rPr>
          <w:rFonts w:ascii="Times New Roman" w:hAnsi="Times New Roman"/>
          <w:sz w:val="24"/>
          <w:szCs w:val="24"/>
        </w:rPr>
        <w:t xml:space="preserve">tructures and </w:t>
      </w:r>
      <w:r w:rsidR="00D9711F">
        <w:rPr>
          <w:rFonts w:ascii="Times New Roman" w:hAnsi="Times New Roman"/>
          <w:sz w:val="24"/>
          <w:szCs w:val="24"/>
        </w:rPr>
        <w:t>S</w:t>
      </w:r>
      <w:r w:rsidRPr="00B02562">
        <w:rPr>
          <w:rFonts w:ascii="Times New Roman" w:hAnsi="Times New Roman"/>
          <w:sz w:val="24"/>
          <w:szCs w:val="24"/>
        </w:rPr>
        <w:t xml:space="preserve">ocial </w:t>
      </w:r>
      <w:r w:rsidR="00D9711F">
        <w:rPr>
          <w:rFonts w:ascii="Times New Roman" w:hAnsi="Times New Roman"/>
          <w:sz w:val="24"/>
          <w:szCs w:val="24"/>
        </w:rPr>
        <w:t>I</w:t>
      </w:r>
      <w:r w:rsidRPr="00B02562">
        <w:rPr>
          <w:rFonts w:ascii="Times New Roman" w:hAnsi="Times New Roman"/>
          <w:sz w:val="24"/>
          <w:szCs w:val="24"/>
        </w:rPr>
        <w:t>nequalities’, International Journal of Educational</w:t>
      </w:r>
    </w:p>
    <w:p w:rsidR="00F67EDF" w:rsidRPr="00B02562" w:rsidRDefault="00F67EDF" w:rsidP="00F67EDF">
      <w:pPr>
        <w:pStyle w:val="HTMLPreformatted"/>
        <w:widowControl/>
        <w:jc w:val="both"/>
        <w:rPr>
          <w:rFonts w:ascii="Times New Roman" w:hAnsi="Times New Roman"/>
          <w:sz w:val="24"/>
          <w:szCs w:val="24"/>
        </w:rPr>
      </w:pPr>
      <w:r w:rsidRPr="00B02562">
        <w:rPr>
          <w:rFonts w:ascii="Times New Roman" w:hAnsi="Times New Roman"/>
          <w:sz w:val="24"/>
          <w:szCs w:val="24"/>
        </w:rPr>
        <w:t>Development 29(1): 56–64.</w:t>
      </w:r>
    </w:p>
    <w:p w:rsidR="00F67EDF" w:rsidRPr="00B02562" w:rsidRDefault="00F67EDF" w:rsidP="00F67EDF">
      <w:pPr>
        <w:pStyle w:val="HTMLPreformatted"/>
        <w:widowControl/>
        <w:jc w:val="both"/>
        <w:rPr>
          <w:rFonts w:ascii="Times New Roman" w:hAnsi="Times New Roman"/>
          <w:sz w:val="24"/>
          <w:szCs w:val="24"/>
        </w:rPr>
      </w:pPr>
    </w:p>
    <w:p w:rsidR="00F67EDF" w:rsidRDefault="00F67EDF" w:rsidP="00F67EDF">
      <w:pPr>
        <w:pStyle w:val="HTMLPreformatted"/>
        <w:widowControl/>
        <w:jc w:val="both"/>
        <w:rPr>
          <w:rFonts w:ascii="Times New Roman" w:hAnsi="Times New Roman"/>
          <w:sz w:val="24"/>
          <w:szCs w:val="24"/>
        </w:rPr>
      </w:pPr>
      <w:r w:rsidRPr="00B02562">
        <w:rPr>
          <w:rFonts w:ascii="Times New Roman" w:hAnsi="Times New Roman"/>
          <w:sz w:val="24"/>
          <w:szCs w:val="24"/>
        </w:rPr>
        <w:t>Morley, L. Gunawardena, C., Kwesiga, J., Lihamba, A., Odejide, A., Shacklet</w:t>
      </w:r>
      <w:r>
        <w:rPr>
          <w:rFonts w:ascii="Times New Roman" w:hAnsi="Times New Roman"/>
          <w:sz w:val="24"/>
          <w:szCs w:val="24"/>
        </w:rPr>
        <w:t>on, L. and Sorhaindo, A. (2006)</w:t>
      </w:r>
      <w:r w:rsidR="00D9711F">
        <w:rPr>
          <w:rFonts w:ascii="Times New Roman" w:hAnsi="Times New Roman"/>
          <w:sz w:val="24"/>
          <w:szCs w:val="24"/>
        </w:rPr>
        <w:t>.</w:t>
      </w:r>
      <w:r w:rsidRPr="00B02562">
        <w:rPr>
          <w:rFonts w:ascii="Times New Roman" w:hAnsi="Times New Roman"/>
          <w:sz w:val="24"/>
          <w:szCs w:val="24"/>
        </w:rPr>
        <w:t xml:space="preserve"> </w:t>
      </w:r>
      <w:r w:rsidRPr="00B02562">
        <w:rPr>
          <w:rFonts w:ascii="Times New Roman" w:hAnsi="Times New Roman"/>
          <w:i/>
          <w:sz w:val="24"/>
          <w:szCs w:val="24"/>
        </w:rPr>
        <w:t>Gender Equity in Selected Commonwealth Universities</w:t>
      </w:r>
      <w:r w:rsidR="00D9711F">
        <w:rPr>
          <w:rFonts w:ascii="Times New Roman" w:hAnsi="Times New Roman"/>
          <w:i/>
          <w:sz w:val="24"/>
          <w:szCs w:val="24"/>
        </w:rPr>
        <w:t>.</w:t>
      </w:r>
      <w:r w:rsidRPr="00B02562">
        <w:rPr>
          <w:rFonts w:ascii="Times New Roman" w:hAnsi="Times New Roman"/>
          <w:sz w:val="24"/>
          <w:szCs w:val="24"/>
        </w:rPr>
        <w:t xml:space="preserve"> Research Report No. 65 ,  London, Department of International Development (DFID) </w:t>
      </w:r>
    </w:p>
    <w:p w:rsidR="00F67EDF" w:rsidRPr="00B02562" w:rsidRDefault="00F67EDF" w:rsidP="00F67EDF">
      <w:pPr>
        <w:pStyle w:val="HTMLPreformatted"/>
        <w:widowControl/>
        <w:jc w:val="both"/>
        <w:rPr>
          <w:rFonts w:ascii="Times New Roman" w:hAnsi="Times New Roman"/>
        </w:rPr>
      </w:pPr>
    </w:p>
    <w:p w:rsidR="00F67EDF" w:rsidRPr="00B02562" w:rsidRDefault="00F67EDF" w:rsidP="00F67EDF">
      <w:pPr>
        <w:rPr>
          <w:rFonts w:ascii="Times New Roman" w:hAnsi="Times New Roman"/>
        </w:rPr>
      </w:pPr>
      <w:r>
        <w:rPr>
          <w:rFonts w:ascii="Times New Roman" w:hAnsi="Times New Roman"/>
        </w:rPr>
        <w:t xml:space="preserve">Nigeria Country Office (2007) </w:t>
      </w:r>
      <w:r w:rsidRPr="00B02562">
        <w:rPr>
          <w:rFonts w:ascii="Times New Roman" w:hAnsi="Times New Roman"/>
        </w:rPr>
        <w:t xml:space="preserve"> Information Sheet: Girls’ Education. Accessed 2nd March 2009 at </w:t>
      </w:r>
      <w:hyperlink r:id="rId7" w:history="1">
        <w:r w:rsidRPr="00B02562">
          <w:rPr>
            <w:rStyle w:val="Hyperlink"/>
            <w:rFonts w:ascii="Times New Roman" w:hAnsi="Times New Roman"/>
          </w:rPr>
          <w:t>http://www.unicef.org/wcaro/WCARO-Nigeria-FactSheets-Girls</w:t>
        </w:r>
      </w:hyperlink>
      <w:r w:rsidRPr="00B02562">
        <w:rPr>
          <w:rFonts w:ascii="Times New Roman" w:hAnsi="Times New Roman"/>
        </w:rPr>
        <w:t xml:space="preserve"> Education.</w:t>
      </w:r>
    </w:p>
    <w:p w:rsidR="00F67EDF" w:rsidRDefault="00F67EDF" w:rsidP="00F67EDF">
      <w:pPr>
        <w:pStyle w:val="HTMLPreformatted"/>
        <w:widowControl/>
        <w:jc w:val="both"/>
        <w:rPr>
          <w:rFonts w:ascii="Times New Roman" w:hAnsi="Times New Roman"/>
          <w:sz w:val="24"/>
          <w:szCs w:val="24"/>
        </w:rPr>
      </w:pPr>
      <w:r>
        <w:rPr>
          <w:rFonts w:ascii="Times New Roman" w:hAnsi="Times New Roman"/>
          <w:sz w:val="24"/>
          <w:szCs w:val="24"/>
        </w:rPr>
        <w:t xml:space="preserve">Oanda Ibrahim, Fatuma Chege &amp; </w:t>
      </w:r>
      <w:r w:rsidR="00D9711F">
        <w:rPr>
          <w:rFonts w:ascii="Times New Roman" w:hAnsi="Times New Roman"/>
          <w:sz w:val="24"/>
          <w:szCs w:val="24"/>
        </w:rPr>
        <w:t xml:space="preserve">Wesonga, </w:t>
      </w:r>
      <w:r>
        <w:rPr>
          <w:rFonts w:ascii="Times New Roman" w:hAnsi="Times New Roman"/>
          <w:sz w:val="24"/>
          <w:szCs w:val="24"/>
        </w:rPr>
        <w:t>Daniel, (2008)</w:t>
      </w:r>
      <w:r w:rsidR="00D9711F">
        <w:rPr>
          <w:rFonts w:ascii="Times New Roman" w:hAnsi="Times New Roman"/>
          <w:sz w:val="24"/>
          <w:szCs w:val="24"/>
        </w:rPr>
        <w:t>.</w:t>
      </w:r>
      <w:r>
        <w:rPr>
          <w:rFonts w:ascii="Times New Roman" w:hAnsi="Times New Roman"/>
          <w:sz w:val="24"/>
          <w:szCs w:val="24"/>
        </w:rPr>
        <w:t xml:space="preserve"> Privatization and Private Higher Education in Kenya: Implications for Access, Equity and Knowledge Production, CODESRIA, Dakar Senegal</w:t>
      </w:r>
    </w:p>
    <w:p w:rsidR="00F67EDF" w:rsidRDefault="00F67EDF" w:rsidP="00F67EDF">
      <w:pPr>
        <w:pStyle w:val="HTMLPreformatted"/>
        <w:widowControl/>
        <w:jc w:val="both"/>
        <w:rPr>
          <w:rFonts w:ascii="Times New Roman" w:hAnsi="Times New Roman"/>
          <w:sz w:val="24"/>
          <w:szCs w:val="24"/>
        </w:rPr>
      </w:pPr>
    </w:p>
    <w:p w:rsidR="00F67EDF" w:rsidRPr="00B02562" w:rsidRDefault="00F67EDF" w:rsidP="00F67EDF">
      <w:pPr>
        <w:pStyle w:val="HTMLPreformatted"/>
        <w:widowControl/>
        <w:jc w:val="both"/>
        <w:rPr>
          <w:rFonts w:ascii="Times New Roman" w:hAnsi="Times New Roman"/>
          <w:sz w:val="24"/>
          <w:szCs w:val="24"/>
        </w:rPr>
      </w:pPr>
    </w:p>
    <w:p w:rsidR="00F67EDF" w:rsidRPr="00B02562" w:rsidRDefault="00F67EDF" w:rsidP="00F67EDF">
      <w:pPr>
        <w:rPr>
          <w:rFonts w:ascii="Times New Roman" w:hAnsi="Times New Roman"/>
        </w:rPr>
      </w:pPr>
      <w:r w:rsidRPr="00B02562">
        <w:rPr>
          <w:rFonts w:ascii="Times New Roman" w:hAnsi="Times New Roman"/>
        </w:rPr>
        <w:t xml:space="preserve">Omoike, Don (2009). Sensitizing the Female in University Admission in South-South Geo-political  </w:t>
      </w:r>
      <w:r w:rsidR="00D9711F">
        <w:rPr>
          <w:rFonts w:ascii="Times New Roman" w:hAnsi="Times New Roman"/>
        </w:rPr>
        <w:t>Z</w:t>
      </w:r>
      <w:r w:rsidRPr="00B02562">
        <w:rPr>
          <w:rFonts w:ascii="Times New Roman" w:hAnsi="Times New Roman"/>
        </w:rPr>
        <w:t>one for</w:t>
      </w:r>
      <w:r w:rsidR="00D9711F">
        <w:rPr>
          <w:rFonts w:ascii="Times New Roman" w:hAnsi="Times New Roman"/>
        </w:rPr>
        <w:t>A</w:t>
      </w:r>
      <w:r w:rsidRPr="00B02562">
        <w:rPr>
          <w:rFonts w:ascii="Times New Roman" w:hAnsi="Times New Roman"/>
        </w:rPr>
        <w:t xml:space="preserve">assurance of </w:t>
      </w:r>
      <w:r w:rsidR="00D9711F">
        <w:rPr>
          <w:rFonts w:ascii="Times New Roman" w:hAnsi="Times New Roman"/>
        </w:rPr>
        <w:t>S</w:t>
      </w:r>
      <w:r w:rsidRPr="00B02562">
        <w:rPr>
          <w:rFonts w:ascii="Times New Roman" w:hAnsi="Times New Roman"/>
        </w:rPr>
        <w:t xml:space="preserve">ustainable </w:t>
      </w:r>
      <w:r w:rsidR="00D9711F">
        <w:rPr>
          <w:rFonts w:ascii="Times New Roman" w:hAnsi="Times New Roman"/>
        </w:rPr>
        <w:t>D</w:t>
      </w:r>
      <w:r w:rsidRPr="00B02562">
        <w:rPr>
          <w:rFonts w:ascii="Times New Roman" w:hAnsi="Times New Roman"/>
        </w:rPr>
        <w:t>evelopment in Nigeria. Accessed  11</w:t>
      </w:r>
      <w:r w:rsidRPr="00B02562">
        <w:rPr>
          <w:rFonts w:ascii="Times New Roman" w:hAnsi="Times New Roman"/>
          <w:vertAlign w:val="superscript"/>
        </w:rPr>
        <w:t>th</w:t>
      </w:r>
      <w:r w:rsidRPr="00B02562">
        <w:rPr>
          <w:rFonts w:ascii="Times New Roman" w:hAnsi="Times New Roman"/>
        </w:rPr>
        <w:t xml:space="preserve"> October, 2009 at </w:t>
      </w:r>
      <w:hyperlink r:id="rId8" w:history="1">
        <w:r w:rsidRPr="00B02562">
          <w:rPr>
            <w:rStyle w:val="Hyperlink"/>
            <w:rFonts w:ascii="Times New Roman" w:hAnsi="Times New Roman"/>
          </w:rPr>
          <w:t>http://ozelacademy.com/EJES-v1n2-Omoike.pdf</w:t>
        </w:r>
      </w:hyperlink>
    </w:p>
    <w:p w:rsidR="00F67EDF" w:rsidRPr="00A80300" w:rsidRDefault="00F67EDF" w:rsidP="00F67EDF">
      <w:pPr>
        <w:autoSpaceDE w:val="0"/>
        <w:autoSpaceDN w:val="0"/>
        <w:adjustRightInd w:val="0"/>
        <w:spacing w:after="0" w:line="240" w:lineRule="auto"/>
        <w:jc w:val="both"/>
        <w:rPr>
          <w:rFonts w:ascii="Times New Roman" w:hAnsi="Times New Roman"/>
          <w:sz w:val="24"/>
          <w:szCs w:val="24"/>
          <w:lang w:val="en-US"/>
        </w:rPr>
      </w:pPr>
      <w:r w:rsidRPr="00A80300">
        <w:rPr>
          <w:rFonts w:ascii="Times New Roman" w:hAnsi="Times New Roman"/>
          <w:sz w:val="24"/>
          <w:szCs w:val="24"/>
          <w:lang w:val="en-US"/>
        </w:rPr>
        <w:t xml:space="preserve">Pereira, C. (2007). </w:t>
      </w:r>
      <w:r w:rsidRPr="00A80300">
        <w:rPr>
          <w:rFonts w:ascii="Times New Roman" w:hAnsi="Times New Roman"/>
          <w:i/>
          <w:iCs/>
          <w:sz w:val="24"/>
          <w:szCs w:val="24"/>
          <w:lang w:val="en-US"/>
        </w:rPr>
        <w:t xml:space="preserve">Gender in the Making of the Nigerian University System. </w:t>
      </w:r>
      <w:r w:rsidRPr="00A80300">
        <w:rPr>
          <w:rFonts w:ascii="Times New Roman" w:hAnsi="Times New Roman"/>
          <w:sz w:val="24"/>
          <w:szCs w:val="24"/>
          <w:lang w:val="en-US"/>
        </w:rPr>
        <w:t>Ibadan:</w:t>
      </w:r>
      <w:r>
        <w:rPr>
          <w:rFonts w:ascii="Times New Roman" w:hAnsi="Times New Roman"/>
          <w:sz w:val="24"/>
          <w:szCs w:val="24"/>
          <w:lang w:val="en-US"/>
        </w:rPr>
        <w:t xml:space="preserve"> </w:t>
      </w:r>
      <w:r w:rsidRPr="00A80300">
        <w:rPr>
          <w:rFonts w:ascii="Times New Roman" w:hAnsi="Times New Roman"/>
          <w:sz w:val="24"/>
          <w:szCs w:val="24"/>
          <w:lang w:val="en-US"/>
        </w:rPr>
        <w:t>Heinemann Educational Books.</w:t>
      </w:r>
    </w:p>
    <w:p w:rsidR="00F67EDF" w:rsidRDefault="00F67EDF" w:rsidP="00F67EDF">
      <w:pPr>
        <w:pStyle w:val="HTMLPreformatted"/>
        <w:widowControl/>
        <w:jc w:val="both"/>
        <w:rPr>
          <w:rFonts w:ascii="Times New Roman" w:hAnsi="Times New Roman"/>
          <w:bCs/>
          <w:sz w:val="24"/>
          <w:szCs w:val="24"/>
        </w:rPr>
      </w:pPr>
    </w:p>
    <w:p w:rsidR="00F67EDF" w:rsidRDefault="00F67EDF" w:rsidP="00F67EDF">
      <w:pPr>
        <w:autoSpaceDE w:val="0"/>
        <w:autoSpaceDN w:val="0"/>
        <w:adjustRightInd w:val="0"/>
        <w:spacing w:after="0" w:line="240" w:lineRule="auto"/>
        <w:jc w:val="both"/>
        <w:rPr>
          <w:rFonts w:ascii="Times New Roman" w:hAnsi="Times New Roman"/>
          <w:i/>
          <w:iCs/>
          <w:sz w:val="24"/>
          <w:szCs w:val="24"/>
          <w:lang w:val="en-US"/>
        </w:rPr>
      </w:pPr>
      <w:r w:rsidRPr="00A80300">
        <w:rPr>
          <w:rFonts w:ascii="Times New Roman" w:hAnsi="Times New Roman"/>
          <w:sz w:val="24"/>
          <w:szCs w:val="24"/>
          <w:lang w:val="en-US"/>
        </w:rPr>
        <w:t xml:space="preserve">Republic of Kenya (2006). </w:t>
      </w:r>
      <w:r w:rsidRPr="00A80300">
        <w:rPr>
          <w:rFonts w:ascii="Times New Roman" w:hAnsi="Times New Roman"/>
          <w:i/>
          <w:iCs/>
          <w:sz w:val="24"/>
          <w:szCs w:val="24"/>
          <w:lang w:val="en-US"/>
        </w:rPr>
        <w:t xml:space="preserve">Transformation of Higher Education and Training in Kenya to </w:t>
      </w:r>
      <w:r w:rsidR="00D9711F">
        <w:rPr>
          <w:rFonts w:ascii="Times New Roman" w:hAnsi="Times New Roman"/>
          <w:i/>
          <w:iCs/>
          <w:sz w:val="24"/>
          <w:szCs w:val="24"/>
          <w:lang w:val="en-US"/>
        </w:rPr>
        <w:t>S</w:t>
      </w:r>
      <w:r w:rsidRPr="00A80300">
        <w:rPr>
          <w:rFonts w:ascii="Times New Roman" w:hAnsi="Times New Roman"/>
          <w:i/>
          <w:iCs/>
          <w:sz w:val="24"/>
          <w:szCs w:val="24"/>
          <w:lang w:val="en-US"/>
        </w:rPr>
        <w:t>ecure</w:t>
      </w:r>
      <w:r>
        <w:rPr>
          <w:rFonts w:ascii="Times New Roman" w:hAnsi="Times New Roman"/>
          <w:i/>
          <w:iCs/>
          <w:sz w:val="24"/>
          <w:szCs w:val="24"/>
          <w:lang w:val="en-US"/>
        </w:rPr>
        <w:t xml:space="preserve"> </w:t>
      </w:r>
      <w:r w:rsidRPr="00A80300">
        <w:rPr>
          <w:rFonts w:ascii="Times New Roman" w:hAnsi="Times New Roman"/>
          <w:i/>
          <w:iCs/>
          <w:sz w:val="24"/>
          <w:szCs w:val="24"/>
          <w:lang w:val="en-US"/>
        </w:rPr>
        <w:t>Kenya’s Development in the Knowledge Economy. Report of the Public Universities</w:t>
      </w:r>
      <w:r>
        <w:rPr>
          <w:rFonts w:ascii="Times New Roman" w:hAnsi="Times New Roman"/>
          <w:i/>
          <w:iCs/>
          <w:sz w:val="24"/>
          <w:szCs w:val="24"/>
          <w:lang w:val="en-US"/>
        </w:rPr>
        <w:t xml:space="preserve"> </w:t>
      </w:r>
      <w:r w:rsidRPr="00A80300">
        <w:rPr>
          <w:rFonts w:ascii="Times New Roman" w:hAnsi="Times New Roman"/>
          <w:i/>
          <w:iCs/>
          <w:sz w:val="24"/>
          <w:szCs w:val="24"/>
          <w:lang w:val="en-US"/>
        </w:rPr>
        <w:t>Inspection Board</w:t>
      </w:r>
    </w:p>
    <w:p w:rsidR="00F67EDF" w:rsidRDefault="00F67EDF" w:rsidP="00F67EDF">
      <w:pPr>
        <w:autoSpaceDE w:val="0"/>
        <w:autoSpaceDN w:val="0"/>
        <w:adjustRightInd w:val="0"/>
        <w:spacing w:after="0" w:line="240" w:lineRule="auto"/>
        <w:jc w:val="both"/>
        <w:rPr>
          <w:rFonts w:ascii="Times New Roman" w:hAnsi="Times New Roman"/>
          <w:sz w:val="24"/>
          <w:szCs w:val="24"/>
        </w:rPr>
      </w:pPr>
      <w:r w:rsidRPr="00B02562">
        <w:rPr>
          <w:rFonts w:ascii="Times New Roman" w:hAnsi="Times New Roman"/>
          <w:sz w:val="24"/>
          <w:szCs w:val="24"/>
        </w:rPr>
        <w:t>UNESCO (2009)</w:t>
      </w:r>
      <w:r w:rsidR="00D9711F">
        <w:rPr>
          <w:rFonts w:ascii="Times New Roman" w:hAnsi="Times New Roman"/>
          <w:sz w:val="24"/>
          <w:szCs w:val="24"/>
        </w:rPr>
        <w:t>.</w:t>
      </w:r>
      <w:r w:rsidRPr="00B02562">
        <w:rPr>
          <w:rFonts w:ascii="Times New Roman" w:hAnsi="Times New Roman"/>
          <w:sz w:val="24"/>
          <w:szCs w:val="24"/>
        </w:rPr>
        <w:t xml:space="preserve"> </w:t>
      </w:r>
      <w:r w:rsidRPr="00A80300">
        <w:rPr>
          <w:rFonts w:ascii="Times New Roman" w:hAnsi="Times New Roman"/>
          <w:i/>
          <w:sz w:val="24"/>
          <w:szCs w:val="24"/>
        </w:rPr>
        <w:t xml:space="preserve">EFA </w:t>
      </w:r>
      <w:r w:rsidR="00D9711F">
        <w:rPr>
          <w:rFonts w:ascii="Times New Roman" w:hAnsi="Times New Roman"/>
          <w:i/>
          <w:sz w:val="24"/>
          <w:szCs w:val="24"/>
        </w:rPr>
        <w:t>M</w:t>
      </w:r>
      <w:r w:rsidRPr="00A80300">
        <w:rPr>
          <w:rFonts w:ascii="Times New Roman" w:hAnsi="Times New Roman"/>
          <w:i/>
          <w:sz w:val="24"/>
          <w:szCs w:val="24"/>
        </w:rPr>
        <w:t>onitoring Report: Overcoming Inequality</w:t>
      </w:r>
      <w:r w:rsidR="00D9711F">
        <w:rPr>
          <w:rFonts w:ascii="Times New Roman" w:hAnsi="Times New Roman"/>
          <w:i/>
          <w:sz w:val="24"/>
          <w:szCs w:val="24"/>
        </w:rPr>
        <w:t>:</w:t>
      </w:r>
      <w:r w:rsidR="00D814EC">
        <w:rPr>
          <w:rFonts w:ascii="Times New Roman" w:hAnsi="Times New Roman"/>
          <w:i/>
          <w:sz w:val="24"/>
          <w:szCs w:val="24"/>
        </w:rPr>
        <w:t xml:space="preserve"> </w:t>
      </w:r>
      <w:r w:rsidR="00D9711F">
        <w:rPr>
          <w:rFonts w:ascii="Times New Roman" w:hAnsi="Times New Roman"/>
          <w:i/>
          <w:sz w:val="24"/>
          <w:szCs w:val="24"/>
        </w:rPr>
        <w:t>W</w:t>
      </w:r>
      <w:r w:rsidRPr="00A80300">
        <w:rPr>
          <w:rFonts w:ascii="Times New Roman" w:hAnsi="Times New Roman"/>
          <w:i/>
          <w:sz w:val="24"/>
          <w:szCs w:val="24"/>
        </w:rPr>
        <w:t>hy Governance Matters</w:t>
      </w:r>
      <w:r w:rsidRPr="00B02562">
        <w:rPr>
          <w:rFonts w:ascii="Times New Roman" w:hAnsi="Times New Roman"/>
          <w:sz w:val="24"/>
          <w:szCs w:val="24"/>
        </w:rPr>
        <w:t>, UNESCO Publishing/Oxford University Press</w:t>
      </w:r>
    </w:p>
    <w:p w:rsidR="00F67EDF" w:rsidRDefault="00F67EDF" w:rsidP="00F67EDF">
      <w:pPr>
        <w:autoSpaceDE w:val="0"/>
        <w:autoSpaceDN w:val="0"/>
        <w:adjustRightInd w:val="0"/>
        <w:spacing w:after="0" w:line="240" w:lineRule="auto"/>
        <w:jc w:val="both"/>
        <w:rPr>
          <w:rFonts w:ascii="Times New Roman" w:hAnsi="Times New Roman"/>
          <w:sz w:val="24"/>
          <w:szCs w:val="24"/>
        </w:rPr>
      </w:pPr>
    </w:p>
    <w:p w:rsidR="00F67EDF" w:rsidRPr="001E7273" w:rsidRDefault="00F67EDF" w:rsidP="00F67EDF">
      <w:pPr>
        <w:autoSpaceDE w:val="0"/>
        <w:autoSpaceDN w:val="0"/>
        <w:adjustRightInd w:val="0"/>
        <w:spacing w:after="0" w:line="240" w:lineRule="auto"/>
        <w:jc w:val="both"/>
        <w:rPr>
          <w:rFonts w:ascii="Times New Roman" w:hAnsi="Times New Roman"/>
          <w:i/>
          <w:iCs/>
          <w:sz w:val="24"/>
          <w:szCs w:val="24"/>
          <w:lang w:val="en-US"/>
        </w:rPr>
      </w:pPr>
      <w:r>
        <w:rPr>
          <w:rFonts w:ascii="Times New Roman" w:hAnsi="Times New Roman"/>
          <w:sz w:val="24"/>
          <w:szCs w:val="24"/>
          <w:lang w:val="en-US"/>
        </w:rPr>
        <w:t>UNESCO (2006)</w:t>
      </w:r>
      <w:r w:rsidR="00D814EC">
        <w:rPr>
          <w:rFonts w:ascii="Times New Roman" w:hAnsi="Times New Roman"/>
          <w:sz w:val="24"/>
          <w:szCs w:val="24"/>
          <w:lang w:val="en-US"/>
        </w:rPr>
        <w:t>.</w:t>
      </w:r>
      <w:r w:rsidRPr="001E7273">
        <w:rPr>
          <w:rFonts w:ascii="Times New Roman" w:hAnsi="Times New Roman"/>
          <w:sz w:val="24"/>
          <w:szCs w:val="24"/>
          <w:lang w:val="en-US"/>
        </w:rPr>
        <w:t xml:space="preserve"> </w:t>
      </w:r>
      <w:r w:rsidRPr="001E7273">
        <w:rPr>
          <w:rFonts w:ascii="Times New Roman" w:hAnsi="Times New Roman"/>
          <w:i/>
          <w:iCs/>
          <w:sz w:val="24"/>
          <w:szCs w:val="24"/>
          <w:lang w:val="en-US"/>
        </w:rPr>
        <w:t>EF</w:t>
      </w:r>
      <w:r>
        <w:rPr>
          <w:rFonts w:ascii="Times New Roman" w:hAnsi="Times New Roman"/>
          <w:i/>
          <w:iCs/>
          <w:sz w:val="24"/>
          <w:szCs w:val="24"/>
          <w:lang w:val="en-US"/>
        </w:rPr>
        <w:t xml:space="preserve">A </w:t>
      </w:r>
      <w:r w:rsidR="00D814EC">
        <w:rPr>
          <w:rFonts w:ascii="Times New Roman" w:hAnsi="Times New Roman"/>
          <w:i/>
          <w:iCs/>
          <w:sz w:val="24"/>
          <w:szCs w:val="24"/>
          <w:lang w:val="en-US"/>
        </w:rPr>
        <w:t>G</w:t>
      </w:r>
      <w:r>
        <w:rPr>
          <w:rFonts w:ascii="Times New Roman" w:hAnsi="Times New Roman"/>
          <w:i/>
          <w:iCs/>
          <w:sz w:val="24"/>
          <w:szCs w:val="24"/>
          <w:lang w:val="en-US"/>
        </w:rPr>
        <w:t xml:space="preserve">lobal </w:t>
      </w:r>
      <w:r w:rsidR="00D814EC">
        <w:rPr>
          <w:rFonts w:ascii="Times New Roman" w:hAnsi="Times New Roman"/>
          <w:i/>
          <w:iCs/>
          <w:sz w:val="24"/>
          <w:szCs w:val="24"/>
          <w:lang w:val="en-US"/>
        </w:rPr>
        <w:t>M</w:t>
      </w:r>
      <w:r>
        <w:rPr>
          <w:rFonts w:ascii="Times New Roman" w:hAnsi="Times New Roman"/>
          <w:i/>
          <w:iCs/>
          <w:sz w:val="24"/>
          <w:szCs w:val="24"/>
          <w:lang w:val="en-US"/>
        </w:rPr>
        <w:t xml:space="preserve">onitoring </w:t>
      </w:r>
      <w:r w:rsidR="00D814EC">
        <w:rPr>
          <w:rFonts w:ascii="Times New Roman" w:hAnsi="Times New Roman"/>
          <w:i/>
          <w:iCs/>
          <w:sz w:val="24"/>
          <w:szCs w:val="24"/>
          <w:lang w:val="en-US"/>
        </w:rPr>
        <w:t>R</w:t>
      </w:r>
      <w:r>
        <w:rPr>
          <w:rFonts w:ascii="Times New Roman" w:hAnsi="Times New Roman"/>
          <w:i/>
          <w:iCs/>
          <w:sz w:val="24"/>
          <w:szCs w:val="24"/>
          <w:lang w:val="en-US"/>
        </w:rPr>
        <w:t xml:space="preserve">eport 2007: Strong </w:t>
      </w:r>
      <w:r w:rsidR="00D814EC">
        <w:rPr>
          <w:rFonts w:ascii="Times New Roman" w:hAnsi="Times New Roman"/>
          <w:i/>
          <w:iCs/>
          <w:sz w:val="24"/>
          <w:szCs w:val="24"/>
          <w:lang w:val="en-US"/>
        </w:rPr>
        <w:t>F</w:t>
      </w:r>
      <w:r>
        <w:rPr>
          <w:rFonts w:ascii="Times New Roman" w:hAnsi="Times New Roman"/>
          <w:i/>
          <w:iCs/>
          <w:sz w:val="24"/>
          <w:szCs w:val="24"/>
          <w:lang w:val="en-US"/>
        </w:rPr>
        <w:t>oundations</w:t>
      </w:r>
      <w:r w:rsidR="00D814EC">
        <w:rPr>
          <w:rFonts w:ascii="Times New Roman" w:hAnsi="Times New Roman"/>
          <w:i/>
          <w:iCs/>
          <w:sz w:val="24"/>
          <w:szCs w:val="24"/>
          <w:lang w:val="en-US"/>
        </w:rPr>
        <w:t>:</w:t>
      </w:r>
      <w:r w:rsidRPr="001E7273">
        <w:rPr>
          <w:rFonts w:ascii="Times New Roman" w:hAnsi="Times New Roman"/>
          <w:i/>
          <w:iCs/>
          <w:sz w:val="24"/>
          <w:szCs w:val="24"/>
          <w:lang w:val="en-US"/>
        </w:rPr>
        <w:t xml:space="preserve"> Early </w:t>
      </w:r>
      <w:r w:rsidR="00D814EC">
        <w:rPr>
          <w:rFonts w:ascii="Times New Roman" w:hAnsi="Times New Roman"/>
          <w:i/>
          <w:iCs/>
          <w:sz w:val="24"/>
          <w:szCs w:val="24"/>
          <w:lang w:val="en-US"/>
        </w:rPr>
        <w:t>C</w:t>
      </w:r>
      <w:r w:rsidRPr="001E7273">
        <w:rPr>
          <w:rFonts w:ascii="Times New Roman" w:hAnsi="Times New Roman"/>
          <w:i/>
          <w:iCs/>
          <w:sz w:val="24"/>
          <w:szCs w:val="24"/>
          <w:lang w:val="en-US"/>
        </w:rPr>
        <w:t xml:space="preserve">hildhood </w:t>
      </w:r>
      <w:r w:rsidR="00D814EC">
        <w:rPr>
          <w:rFonts w:ascii="Times New Roman" w:hAnsi="Times New Roman"/>
          <w:i/>
          <w:iCs/>
          <w:sz w:val="24"/>
          <w:szCs w:val="24"/>
          <w:lang w:val="en-US"/>
        </w:rPr>
        <w:t>C</w:t>
      </w:r>
      <w:r w:rsidRPr="001E7273">
        <w:rPr>
          <w:rFonts w:ascii="Times New Roman" w:hAnsi="Times New Roman"/>
          <w:i/>
          <w:iCs/>
          <w:sz w:val="24"/>
          <w:szCs w:val="24"/>
          <w:lang w:val="en-US"/>
        </w:rPr>
        <w:t xml:space="preserve">are and </w:t>
      </w:r>
      <w:r w:rsidR="00D814EC">
        <w:rPr>
          <w:rFonts w:ascii="Times New Roman" w:hAnsi="Times New Roman"/>
          <w:i/>
          <w:iCs/>
          <w:sz w:val="24"/>
          <w:szCs w:val="24"/>
          <w:lang w:val="en-US"/>
        </w:rPr>
        <w:t>E</w:t>
      </w:r>
      <w:r w:rsidRPr="001E7273">
        <w:rPr>
          <w:rFonts w:ascii="Times New Roman" w:hAnsi="Times New Roman"/>
          <w:i/>
          <w:iCs/>
          <w:sz w:val="24"/>
          <w:szCs w:val="24"/>
          <w:lang w:val="en-US"/>
        </w:rPr>
        <w:t>ducation</w:t>
      </w:r>
      <w:r>
        <w:rPr>
          <w:rFonts w:ascii="Times New Roman" w:hAnsi="Times New Roman"/>
          <w:sz w:val="24"/>
          <w:szCs w:val="24"/>
          <w:lang w:val="en-US"/>
        </w:rPr>
        <w:t>,</w:t>
      </w:r>
      <w:r w:rsidRPr="001E7273">
        <w:rPr>
          <w:rFonts w:ascii="Times New Roman" w:hAnsi="Times New Roman"/>
          <w:sz w:val="24"/>
          <w:szCs w:val="24"/>
          <w:lang w:val="en-US"/>
        </w:rPr>
        <w:t xml:space="preserve"> Paris, UNESCO</w:t>
      </w:r>
    </w:p>
    <w:p w:rsidR="00F67EDF" w:rsidRPr="00B02562" w:rsidRDefault="00F67EDF" w:rsidP="00F67EDF">
      <w:pPr>
        <w:pStyle w:val="HTMLPreformatted"/>
        <w:widowControl/>
        <w:jc w:val="both"/>
        <w:rPr>
          <w:rFonts w:ascii="Times New Roman" w:hAnsi="Times New Roman"/>
          <w:sz w:val="24"/>
          <w:szCs w:val="24"/>
        </w:rPr>
      </w:pPr>
    </w:p>
    <w:p w:rsidR="00F67EDF" w:rsidRDefault="00F67EDF" w:rsidP="00F67EDF">
      <w:pPr>
        <w:rPr>
          <w:rFonts w:ascii="Times New Roman" w:hAnsi="Times New Roman"/>
        </w:rPr>
      </w:pPr>
      <w:r>
        <w:rPr>
          <w:rFonts w:ascii="Times New Roman" w:hAnsi="Times New Roman"/>
        </w:rPr>
        <w:t>UNICEF  (2009)</w:t>
      </w:r>
      <w:r w:rsidRPr="00B02562">
        <w:rPr>
          <w:rFonts w:ascii="Times New Roman" w:hAnsi="Times New Roman"/>
        </w:rPr>
        <w:t xml:space="preserve"> Girls Education in Nigeria. Accessed </w:t>
      </w:r>
      <w:r w:rsidR="00D814EC">
        <w:rPr>
          <w:rFonts w:ascii="Times New Roman" w:hAnsi="Times New Roman"/>
        </w:rPr>
        <w:t>20</w:t>
      </w:r>
      <w:r w:rsidR="00D814EC" w:rsidRPr="00D814EC">
        <w:rPr>
          <w:rFonts w:ascii="Times New Roman" w:hAnsi="Times New Roman"/>
          <w:vertAlign w:val="superscript"/>
        </w:rPr>
        <w:t>th</w:t>
      </w:r>
      <w:r w:rsidR="00D814EC">
        <w:rPr>
          <w:rFonts w:ascii="Times New Roman" w:hAnsi="Times New Roman"/>
        </w:rPr>
        <w:t xml:space="preserve"> May, 2009 at</w:t>
      </w:r>
      <w:r w:rsidRPr="00B02562">
        <w:rPr>
          <w:rFonts w:ascii="Times New Roman" w:hAnsi="Times New Roman"/>
        </w:rPr>
        <w:t xml:space="preserve"> </w:t>
      </w:r>
      <w:hyperlink r:id="rId9" w:history="1">
        <w:r w:rsidRPr="00B02562">
          <w:rPr>
            <w:rStyle w:val="Hyperlink"/>
            <w:rFonts w:ascii="Times New Roman" w:hAnsi="Times New Roman"/>
          </w:rPr>
          <w:t>http://bellecollege.edu/liberlarts/sir/images/Nigeriafinal.pdf</w:t>
        </w:r>
      </w:hyperlink>
    </w:p>
    <w:p w:rsidR="00F67EDF" w:rsidRDefault="00F67EDF" w:rsidP="00F67EDF">
      <w:pPr>
        <w:rPr>
          <w:rFonts w:ascii="Times New Roman" w:hAnsi="Times New Roman"/>
        </w:rPr>
      </w:pPr>
    </w:p>
    <w:p w:rsidR="00F67EDF" w:rsidRPr="00A80300" w:rsidRDefault="00F67EDF" w:rsidP="00F67EDF">
      <w:pPr>
        <w:jc w:val="both"/>
        <w:rPr>
          <w:rFonts w:ascii="Times New Roman" w:hAnsi="Times New Roman"/>
          <w:sz w:val="24"/>
          <w:szCs w:val="24"/>
          <w:lang w:val="en-US"/>
        </w:rPr>
      </w:pPr>
    </w:p>
    <w:p w:rsidR="00F67EDF" w:rsidRPr="00A80300" w:rsidRDefault="00F67EDF" w:rsidP="00F67EDF">
      <w:pPr>
        <w:jc w:val="both"/>
        <w:rPr>
          <w:rFonts w:ascii="Times New Roman" w:hAnsi="Times New Roman"/>
          <w:sz w:val="24"/>
          <w:szCs w:val="24"/>
          <w:lang w:val="en-US"/>
        </w:rPr>
      </w:pPr>
    </w:p>
    <w:p w:rsidR="00F67EDF" w:rsidRPr="00A80300" w:rsidRDefault="00F67EDF" w:rsidP="00F67EDF">
      <w:pPr>
        <w:jc w:val="both"/>
        <w:rPr>
          <w:rFonts w:ascii="Times New Roman" w:hAnsi="Times New Roman"/>
          <w:sz w:val="24"/>
          <w:szCs w:val="24"/>
        </w:rPr>
      </w:pPr>
    </w:p>
    <w:p w:rsidR="000C6691" w:rsidRDefault="000C6691"/>
    <w:sectPr w:rsidR="000C6691" w:rsidSect="0074580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8B" w:rsidRDefault="00DD158B" w:rsidP="00966802">
      <w:pPr>
        <w:spacing w:after="0" w:line="240" w:lineRule="auto"/>
      </w:pPr>
      <w:r>
        <w:separator/>
      </w:r>
    </w:p>
  </w:endnote>
  <w:endnote w:type="continuationSeparator" w:id="1">
    <w:p w:rsidR="00DD158B" w:rsidRDefault="00DD158B" w:rsidP="00966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AD" w:rsidRDefault="00F405AD">
    <w:pPr>
      <w:pStyle w:val="Footer"/>
      <w:jc w:val="center"/>
    </w:pPr>
    <w:r>
      <w:t xml:space="preserve">CHAPTER FIVE IN SABINE O’HARA (Editor, 2010), HIGHER EDUCATION IN AFRICA: EQUITY, ACCESS OPPORTUNITY. NEW YORK: INSTITUTE OF INTERNATIONAL EDUCATION (IIE)  </w:t>
    </w:r>
  </w:p>
  <w:p w:rsidR="00F405AD" w:rsidRDefault="00F405AD">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8B" w:rsidRDefault="00DD158B" w:rsidP="00966802">
      <w:pPr>
        <w:spacing w:after="0" w:line="240" w:lineRule="auto"/>
      </w:pPr>
      <w:r>
        <w:separator/>
      </w:r>
    </w:p>
  </w:footnote>
  <w:footnote w:type="continuationSeparator" w:id="1">
    <w:p w:rsidR="00DD158B" w:rsidRDefault="00DD158B" w:rsidP="009668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443"/>
    <w:multiLevelType w:val="hybridMultilevel"/>
    <w:tmpl w:val="FDEA97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3654642"/>
    <w:multiLevelType w:val="hybridMultilevel"/>
    <w:tmpl w:val="482E7CC4"/>
    <w:lvl w:ilvl="0" w:tplc="362A33F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2380E"/>
    <w:multiLevelType w:val="hybridMultilevel"/>
    <w:tmpl w:val="6E0E9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7EDF"/>
    <w:rsid w:val="000153B4"/>
    <w:rsid w:val="00027ECC"/>
    <w:rsid w:val="0003186B"/>
    <w:rsid w:val="00070F14"/>
    <w:rsid w:val="000A08E2"/>
    <w:rsid w:val="000C6691"/>
    <w:rsid w:val="000E0CF3"/>
    <w:rsid w:val="000F7979"/>
    <w:rsid w:val="00141620"/>
    <w:rsid w:val="001C1AB0"/>
    <w:rsid w:val="00217D38"/>
    <w:rsid w:val="00217DF8"/>
    <w:rsid w:val="00241EEC"/>
    <w:rsid w:val="002E1B63"/>
    <w:rsid w:val="00352FBA"/>
    <w:rsid w:val="00353B3C"/>
    <w:rsid w:val="003915A9"/>
    <w:rsid w:val="003A4C98"/>
    <w:rsid w:val="003E391E"/>
    <w:rsid w:val="004C34F2"/>
    <w:rsid w:val="004E2A29"/>
    <w:rsid w:val="005241B2"/>
    <w:rsid w:val="00550FF6"/>
    <w:rsid w:val="005536CF"/>
    <w:rsid w:val="0061402D"/>
    <w:rsid w:val="0069028D"/>
    <w:rsid w:val="0074084A"/>
    <w:rsid w:val="0074580D"/>
    <w:rsid w:val="007F2B8E"/>
    <w:rsid w:val="007F594C"/>
    <w:rsid w:val="008A3966"/>
    <w:rsid w:val="008E47E1"/>
    <w:rsid w:val="00905BCB"/>
    <w:rsid w:val="00915A96"/>
    <w:rsid w:val="00966802"/>
    <w:rsid w:val="0097002D"/>
    <w:rsid w:val="009D5721"/>
    <w:rsid w:val="00AB1B50"/>
    <w:rsid w:val="00AF6B33"/>
    <w:rsid w:val="00B1203C"/>
    <w:rsid w:val="00B73DE8"/>
    <w:rsid w:val="00C942D3"/>
    <w:rsid w:val="00CB58A5"/>
    <w:rsid w:val="00CC0E49"/>
    <w:rsid w:val="00D10E7E"/>
    <w:rsid w:val="00D416CF"/>
    <w:rsid w:val="00D814EC"/>
    <w:rsid w:val="00D9711F"/>
    <w:rsid w:val="00DB0C1B"/>
    <w:rsid w:val="00DB60D5"/>
    <w:rsid w:val="00DD1129"/>
    <w:rsid w:val="00DD158B"/>
    <w:rsid w:val="00E871D7"/>
    <w:rsid w:val="00EC6D64"/>
    <w:rsid w:val="00F405AD"/>
    <w:rsid w:val="00F63BC4"/>
    <w:rsid w:val="00F67EDF"/>
    <w:rsid w:val="00FA50F6"/>
    <w:rsid w:val="00FA52E0"/>
    <w:rsid w:val="00FC0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DF"/>
    <w:pPr>
      <w:spacing w:after="200" w:line="276" w:lineRule="auto"/>
    </w:pPr>
    <w:rPr>
      <w:rFonts w:ascii="Calibri" w:eastAsia="Calibri" w:hAnsi="Calibri"/>
      <w:sz w:val="22"/>
      <w:szCs w:val="22"/>
      <w:lang w:val="en-GB"/>
    </w:rPr>
  </w:style>
  <w:style w:type="paragraph" w:styleId="Heading2">
    <w:name w:val="heading 2"/>
    <w:aliases w:val="Reset numbering,Heading 3 + 12 pt,No Italic,Auto,No underline,Left: 0'' + 12 pt,No..."/>
    <w:basedOn w:val="Normal"/>
    <w:next w:val="Normal"/>
    <w:link w:val="Heading2Char"/>
    <w:qFormat/>
    <w:rsid w:val="00F67EDF"/>
    <w:pPr>
      <w:keepNext/>
      <w:spacing w:after="0" w:line="360" w:lineRule="auto"/>
      <w:jc w:val="center"/>
      <w:outlineLvl w:val="1"/>
    </w:pPr>
    <w:rPr>
      <w:rFonts w:ascii="Arial" w:eastAsia="Times New Roman" w:hAnsi="Arial"/>
      <w:b/>
      <w:bCs/>
      <w:sz w:val="24"/>
      <w:szCs w:val="20"/>
    </w:rPr>
  </w:style>
  <w:style w:type="paragraph" w:styleId="Heading3">
    <w:name w:val="heading 3"/>
    <w:basedOn w:val="Normal"/>
    <w:next w:val="Normal"/>
    <w:link w:val="Heading3Char"/>
    <w:uiPriority w:val="9"/>
    <w:semiHidden/>
    <w:unhideWhenUsed/>
    <w:qFormat/>
    <w:rsid w:val="00F67EDF"/>
    <w:pPr>
      <w:keepNext/>
      <w:spacing w:before="240" w:after="60" w:line="240" w:lineRule="auto"/>
      <w:outlineLvl w:val="2"/>
    </w:pPr>
    <w:rPr>
      <w:rFonts w:ascii="Cambria" w:eastAsia="Times New Roman"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et numbering Char,Heading 3 + 12 pt Char,No Italic Char,Auto Char,No underline Char,Left: 0'' + 12 pt Char,No... Char"/>
    <w:basedOn w:val="DefaultParagraphFont"/>
    <w:link w:val="Heading2"/>
    <w:rsid w:val="00F67EDF"/>
    <w:rPr>
      <w:rFonts w:ascii="Arial" w:hAnsi="Arial"/>
      <w:b/>
      <w:bCs/>
      <w:sz w:val="24"/>
      <w:lang w:val="en-GB"/>
    </w:rPr>
  </w:style>
  <w:style w:type="character" w:customStyle="1" w:styleId="Heading3Char">
    <w:name w:val="Heading 3 Char"/>
    <w:basedOn w:val="DefaultParagraphFont"/>
    <w:link w:val="Heading3"/>
    <w:uiPriority w:val="9"/>
    <w:semiHidden/>
    <w:rsid w:val="00F67EDF"/>
    <w:rPr>
      <w:rFonts w:ascii="Cambria" w:hAnsi="Cambria"/>
      <w:b/>
      <w:bCs/>
      <w:sz w:val="26"/>
      <w:szCs w:val="26"/>
    </w:rPr>
  </w:style>
  <w:style w:type="paragraph" w:styleId="Header">
    <w:name w:val="header"/>
    <w:basedOn w:val="Normal"/>
    <w:link w:val="HeaderChar"/>
    <w:uiPriority w:val="99"/>
    <w:semiHidden/>
    <w:unhideWhenUsed/>
    <w:rsid w:val="00F67EDF"/>
    <w:pPr>
      <w:tabs>
        <w:tab w:val="center" w:pos="4680"/>
        <w:tab w:val="right" w:pos="9360"/>
      </w:tabs>
    </w:pPr>
  </w:style>
  <w:style w:type="character" w:customStyle="1" w:styleId="HeaderChar">
    <w:name w:val="Header Char"/>
    <w:basedOn w:val="DefaultParagraphFont"/>
    <w:link w:val="Header"/>
    <w:uiPriority w:val="99"/>
    <w:semiHidden/>
    <w:rsid w:val="00F67EDF"/>
    <w:rPr>
      <w:rFonts w:ascii="Calibri" w:eastAsia="Calibri" w:hAnsi="Calibri"/>
      <w:sz w:val="22"/>
      <w:szCs w:val="22"/>
      <w:lang w:val="en-GB"/>
    </w:rPr>
  </w:style>
  <w:style w:type="paragraph" w:styleId="Footer">
    <w:name w:val="footer"/>
    <w:basedOn w:val="Normal"/>
    <w:link w:val="FooterChar"/>
    <w:uiPriority w:val="99"/>
    <w:unhideWhenUsed/>
    <w:rsid w:val="00F67EDF"/>
    <w:pPr>
      <w:tabs>
        <w:tab w:val="center" w:pos="4680"/>
        <w:tab w:val="right" w:pos="9360"/>
      </w:tabs>
    </w:pPr>
  </w:style>
  <w:style w:type="character" w:customStyle="1" w:styleId="FooterChar">
    <w:name w:val="Footer Char"/>
    <w:basedOn w:val="DefaultParagraphFont"/>
    <w:link w:val="Footer"/>
    <w:uiPriority w:val="99"/>
    <w:rsid w:val="00F67EDF"/>
    <w:rPr>
      <w:rFonts w:ascii="Calibri" w:eastAsia="Calibri" w:hAnsi="Calibri"/>
      <w:sz w:val="22"/>
      <w:szCs w:val="22"/>
      <w:lang w:val="en-GB"/>
    </w:rPr>
  </w:style>
  <w:style w:type="paragraph" w:customStyle="1" w:styleId="Default">
    <w:name w:val="Default"/>
    <w:rsid w:val="00F67EDF"/>
    <w:pPr>
      <w:autoSpaceDE w:val="0"/>
      <w:autoSpaceDN w:val="0"/>
      <w:adjustRightInd w:val="0"/>
    </w:pPr>
    <w:rPr>
      <w:rFonts w:eastAsia="Calibri"/>
      <w:color w:val="000000"/>
      <w:sz w:val="24"/>
      <w:szCs w:val="24"/>
    </w:rPr>
  </w:style>
  <w:style w:type="paragraph" w:styleId="HTMLPreformatted">
    <w:name w:val="HTML Preformatted"/>
    <w:basedOn w:val="Normal"/>
    <w:link w:val="HTMLPreformattedChar"/>
    <w:rsid w:val="00F6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olor w:val="000000"/>
      <w:sz w:val="20"/>
      <w:szCs w:val="20"/>
      <w:lang w:eastAsia="en-GB"/>
    </w:rPr>
  </w:style>
  <w:style w:type="character" w:customStyle="1" w:styleId="HTMLPreformattedChar">
    <w:name w:val="HTML Preformatted Char"/>
    <w:basedOn w:val="DefaultParagraphFont"/>
    <w:link w:val="HTMLPreformatted"/>
    <w:rsid w:val="00F67EDF"/>
    <w:rPr>
      <w:rFonts w:ascii="Courier New" w:hAnsi="Courier New"/>
      <w:color w:val="000000"/>
      <w:lang w:val="en-GB" w:eastAsia="en-GB"/>
    </w:rPr>
  </w:style>
  <w:style w:type="table" w:styleId="TableGrid">
    <w:name w:val="Table Grid"/>
    <w:basedOn w:val="TableNormal"/>
    <w:uiPriority w:val="59"/>
    <w:rsid w:val="00F67ED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F67EDF"/>
    <w:pPr>
      <w:spacing w:after="0" w:line="240" w:lineRule="auto"/>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F67EDF"/>
    <w:rPr>
      <w:lang w:val="en-GB"/>
    </w:rPr>
  </w:style>
  <w:style w:type="paragraph" w:styleId="ListParagraph">
    <w:name w:val="List Paragraph"/>
    <w:basedOn w:val="Normal"/>
    <w:uiPriority w:val="34"/>
    <w:qFormat/>
    <w:rsid w:val="00F67EDF"/>
    <w:pPr>
      <w:spacing w:after="0" w:line="240" w:lineRule="auto"/>
      <w:ind w:left="720"/>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F67EDF"/>
    <w:rPr>
      <w:sz w:val="16"/>
      <w:szCs w:val="16"/>
    </w:rPr>
  </w:style>
  <w:style w:type="paragraph" w:styleId="CommentText">
    <w:name w:val="annotation text"/>
    <w:basedOn w:val="Normal"/>
    <w:link w:val="CommentTextChar"/>
    <w:uiPriority w:val="99"/>
    <w:semiHidden/>
    <w:unhideWhenUsed/>
    <w:rsid w:val="00F67EDF"/>
    <w:rPr>
      <w:sz w:val="20"/>
      <w:szCs w:val="20"/>
    </w:rPr>
  </w:style>
  <w:style w:type="character" w:customStyle="1" w:styleId="CommentTextChar">
    <w:name w:val="Comment Text Char"/>
    <w:basedOn w:val="DefaultParagraphFont"/>
    <w:link w:val="CommentText"/>
    <w:uiPriority w:val="99"/>
    <w:semiHidden/>
    <w:rsid w:val="00F67EDF"/>
    <w:rPr>
      <w:rFonts w:ascii="Calibri" w:eastAsia="Calibri" w:hAnsi="Calibri"/>
      <w:lang w:val="en-GB"/>
    </w:rPr>
  </w:style>
  <w:style w:type="paragraph" w:styleId="CommentSubject">
    <w:name w:val="annotation subject"/>
    <w:basedOn w:val="CommentText"/>
    <w:next w:val="CommentText"/>
    <w:link w:val="CommentSubjectChar"/>
    <w:uiPriority w:val="99"/>
    <w:semiHidden/>
    <w:unhideWhenUsed/>
    <w:rsid w:val="00F67EDF"/>
    <w:rPr>
      <w:b/>
      <w:bCs/>
    </w:rPr>
  </w:style>
  <w:style w:type="character" w:customStyle="1" w:styleId="CommentSubjectChar">
    <w:name w:val="Comment Subject Char"/>
    <w:basedOn w:val="CommentTextChar"/>
    <w:link w:val="CommentSubject"/>
    <w:uiPriority w:val="99"/>
    <w:semiHidden/>
    <w:rsid w:val="00F67EDF"/>
    <w:rPr>
      <w:b/>
      <w:bCs/>
    </w:rPr>
  </w:style>
  <w:style w:type="paragraph" w:styleId="BalloonText">
    <w:name w:val="Balloon Text"/>
    <w:basedOn w:val="Normal"/>
    <w:link w:val="BalloonTextChar"/>
    <w:uiPriority w:val="99"/>
    <w:semiHidden/>
    <w:unhideWhenUsed/>
    <w:rsid w:val="00F6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EDF"/>
    <w:rPr>
      <w:rFonts w:ascii="Tahoma" w:eastAsia="Calibri" w:hAnsi="Tahoma" w:cs="Tahoma"/>
      <w:sz w:val="16"/>
      <w:szCs w:val="16"/>
      <w:lang w:val="en-GB"/>
    </w:rPr>
  </w:style>
  <w:style w:type="character" w:styleId="Hyperlink">
    <w:name w:val="Hyperlink"/>
    <w:basedOn w:val="DefaultParagraphFont"/>
    <w:uiPriority w:val="99"/>
    <w:unhideWhenUsed/>
    <w:rsid w:val="00F67EDF"/>
    <w:rPr>
      <w:color w:val="0000FF"/>
      <w:u w:val="single"/>
    </w:rPr>
  </w:style>
  <w:style w:type="paragraph" w:styleId="BodyText">
    <w:name w:val="Body Text"/>
    <w:basedOn w:val="Normal"/>
    <w:link w:val="BodyTextChar"/>
    <w:uiPriority w:val="99"/>
    <w:semiHidden/>
    <w:unhideWhenUsed/>
    <w:rsid w:val="00F67EDF"/>
    <w:pPr>
      <w:spacing w:after="120"/>
    </w:pPr>
  </w:style>
  <w:style w:type="character" w:customStyle="1" w:styleId="BodyTextChar">
    <w:name w:val="Body Text Char"/>
    <w:basedOn w:val="DefaultParagraphFont"/>
    <w:link w:val="BodyText"/>
    <w:uiPriority w:val="99"/>
    <w:semiHidden/>
    <w:rsid w:val="00F67EDF"/>
    <w:rPr>
      <w:rFonts w:ascii="Calibri" w:eastAsia="Calibri" w:hAnsi="Calibri"/>
      <w:sz w:val="22"/>
      <w:szCs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zelacademy.com/EJES-v1n2-Omoike.pdf" TargetMode="External"/><Relationship Id="rId3" Type="http://schemas.openxmlformats.org/officeDocument/2006/relationships/settings" Target="settings.xml"/><Relationship Id="rId7" Type="http://schemas.openxmlformats.org/officeDocument/2006/relationships/hyperlink" Target="http://www.unicef.org/wcaro/WCARO-Nigeria-FactSheets-Gir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ellecollege.edu/liberlarts/sir/images/Nigeria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22</Pages>
  <Words>7508</Words>
  <Characters>42800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Akudolu</dc:creator>
  <cp:lastModifiedBy>Prof. Akudolu</cp:lastModifiedBy>
  <cp:revision>16</cp:revision>
  <cp:lastPrinted>2009-11-05T20:02:00Z</cp:lastPrinted>
  <dcterms:created xsi:type="dcterms:W3CDTF">2011-10-13T21:55:00Z</dcterms:created>
  <dcterms:modified xsi:type="dcterms:W3CDTF">2011-10-14T15:32:00Z</dcterms:modified>
</cp:coreProperties>
</file>